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8"/>
          <w:szCs w:val="28"/>
          <w:b w:val="1"/>
          <w:bCs w:val="1"/>
          <w:color w:val="auto"/>
        </w:rPr>
        <w:t>SCHEDULE 14A INFORMATION</w:t>
      </w:r>
    </w:p>
    <w:p>
      <w:pPr>
        <w:spacing w:after="0" w:line="24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ectPr>
          <w:pgSz w:w="11900" w:h="16838" w:orient="portrait"/>
          <w:cols w:equalWidth="0" w:num="1">
            <w:col w:w="10200"/>
          </w:cols>
          <w:pgMar w:left="320" w:top="1008" w:right="1379" w:bottom="1440" w:gutter="0" w:footer="0" w:header="0"/>
        </w:sectPr>
      </w:pPr>
    </w:p>
    <w:p>
      <w:pPr>
        <w:spacing w:after="0" w:line="25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highlight w:val="black"/>
        </w:rPr>
        <w:t>x</w:t>
      </w:r>
    </w:p>
    <w:p>
      <w:pPr>
        <w:spacing w:after="0" w:line="38" w:lineRule="exact"/>
        <w:rPr>
          <w:sz w:val="24"/>
          <w:szCs w:val="24"/>
          <w:color w:val="auto"/>
        </w:rPr>
      </w:pPr>
    </w:p>
    <w:p>
      <w:pPr>
        <w:sectPr>
          <w:pgSz w:w="11900" w:h="16838" w:orient="portrait"/>
          <w:cols w:equalWidth="0" w:num="2">
            <w:col w:w="2500" w:space="720"/>
            <w:col w:w="6980"/>
          </w:cols>
          <w:pgMar w:left="320" w:top="1008" w:right="1379" w:bottom="1440" w:gutter="0" w:footer="0" w:header="0"/>
          <w:type w:val="continuous"/>
        </w:sectPr>
      </w:pPr>
    </w:p>
    <w:p>
      <w:pPr>
        <w:ind w:left="360"/>
        <w:spacing w:after="0" w:line="245" w:lineRule="auto"/>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highlight w:val="black"/>
        </w:rPr>
        <w:t>o</w:t>
      </w:r>
    </w:p>
    <w:p>
      <w:pPr>
        <w:spacing w:after="0" w:line="433" w:lineRule="exact"/>
        <w:rPr>
          <w:sz w:val="24"/>
          <w:szCs w:val="24"/>
          <w:color w:val="auto"/>
        </w:rPr>
      </w:pPr>
    </w:p>
    <w:p>
      <w:pPr>
        <w:sectPr>
          <w:pgSz w:w="11900" w:h="16838" w:orient="portrait"/>
          <w:cols w:equalWidth="0" w:num="2">
            <w:col w:w="2520" w:space="700"/>
            <w:col w:w="6980"/>
          </w:cols>
          <w:pgMar w:left="320" w:top="1008" w:right="1379" w:bottom="1440" w:gutter="0" w:footer="0" w:header="0"/>
          <w:type w:val="continuous"/>
        </w:sectPr>
      </w:pP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1040" w:hanging="609"/>
        <w:spacing w:after="0"/>
        <w:tabs>
          <w:tab w:leader="none" w:pos="104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Preliminary Proxy Statement</w:t>
      </w:r>
    </w:p>
    <w:p>
      <w:pPr>
        <w:spacing w:after="0" w:line="30" w:lineRule="exact"/>
        <w:rPr>
          <w:rFonts w:ascii="Wingdings" w:cs="Wingdings" w:eastAsia="Wingdings" w:hAnsi="Wingdings"/>
          <w:sz w:val="20"/>
          <w:szCs w:val="20"/>
          <w:b w:val="1"/>
          <w:bCs w:val="1"/>
          <w:color w:val="auto"/>
          <w:highlight w:val="black"/>
        </w:rPr>
      </w:pPr>
    </w:p>
    <w:p>
      <w:pPr>
        <w:ind w:left="440" w:right="2960" w:hanging="9"/>
        <w:spacing w:after="0" w:line="267" w:lineRule="auto"/>
        <w:tabs>
          <w:tab w:leader="none" w:pos="1048"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color w:val="auto"/>
        </w:rPr>
        <w:t>Definitive Proxy Statement</w:t>
      </w:r>
    </w:p>
    <w:p>
      <w:pPr>
        <w:spacing w:after="0" w:line="12" w:lineRule="exact"/>
        <w:rPr>
          <w:rFonts w:ascii="Wingdings" w:cs="Wingdings" w:eastAsia="Wingdings" w:hAnsi="Wingdings"/>
          <w:sz w:val="20"/>
          <w:szCs w:val="20"/>
          <w:b w:val="1"/>
          <w:bCs w:val="1"/>
          <w:color w:val="auto"/>
          <w:highlight w:val="black"/>
        </w:rPr>
      </w:pPr>
    </w:p>
    <w:p>
      <w:pPr>
        <w:ind w:left="1040" w:hanging="609"/>
        <w:spacing w:after="0"/>
        <w:tabs>
          <w:tab w:leader="none" w:pos="104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Definitive Additional Materials</w:t>
      </w:r>
    </w:p>
    <w:p>
      <w:pPr>
        <w:spacing w:after="0" w:line="34" w:lineRule="exact"/>
        <w:rPr>
          <w:rFonts w:ascii="Wingdings" w:cs="Wingdings" w:eastAsia="Wingdings" w:hAnsi="Wingdings"/>
          <w:sz w:val="20"/>
          <w:szCs w:val="20"/>
          <w:b w:val="1"/>
          <w:bCs w:val="1"/>
          <w:color w:val="auto"/>
          <w:highlight w:val="black"/>
        </w:rPr>
      </w:pPr>
    </w:p>
    <w:p>
      <w:pPr>
        <w:ind w:left="1040" w:hanging="609"/>
        <w:spacing w:after="0"/>
        <w:tabs>
          <w:tab w:leader="none" w:pos="104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Soliciting Material Pursuant to §240.14a-12</w:t>
      </w:r>
    </w:p>
    <w:p>
      <w:pPr>
        <w:spacing w:after="0" w:line="34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32"/>
          <w:szCs w:val="32"/>
          <w:b w:val="1"/>
          <w:bCs w:val="1"/>
          <w:color w:val="auto"/>
        </w:rPr>
        <w:t>CREATIVE MEDIA &amp; COMMUNITY TRUST CORPORATION</w:t>
      </w:r>
    </w:p>
    <w:p>
      <w:pPr>
        <w:spacing w:after="0" w:line="8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980" w:hanging="644"/>
        <w:spacing w:after="0"/>
        <w:tabs>
          <w:tab w:leader="none" w:pos="9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color w:val="auto"/>
        </w:rPr>
        <w:t>No fee required.</w:t>
      </w:r>
    </w:p>
    <w:p>
      <w:pPr>
        <w:spacing w:after="0" w:line="50" w:lineRule="exact"/>
        <w:rPr>
          <w:sz w:val="24"/>
          <w:szCs w:val="24"/>
          <w:color w:val="auto"/>
        </w:rPr>
      </w:pPr>
    </w:p>
    <w:p>
      <w:pPr>
        <w:ind w:left="980" w:hanging="644"/>
        <w:spacing w:after="0"/>
        <w:tabs>
          <w:tab w:leader="none" w:pos="980" w:val="left"/>
        </w:tabs>
        <w:numPr>
          <w:ilvl w:val="0"/>
          <w:numId w:val="3"/>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Fee paid previously with preliminary materials.</w:t>
      </w:r>
    </w:p>
    <w:p>
      <w:pPr>
        <w:spacing w:after="0" w:line="34" w:lineRule="exact"/>
        <w:rPr>
          <w:rFonts w:ascii="Wingdings" w:cs="Wingdings" w:eastAsia="Wingdings" w:hAnsi="Wingdings"/>
          <w:sz w:val="20"/>
          <w:szCs w:val="20"/>
          <w:b w:val="1"/>
          <w:bCs w:val="1"/>
          <w:color w:val="auto"/>
          <w:highlight w:val="black"/>
        </w:rPr>
      </w:pPr>
    </w:p>
    <w:p>
      <w:pPr>
        <w:ind w:left="980" w:hanging="644"/>
        <w:spacing w:after="0"/>
        <w:tabs>
          <w:tab w:leader="none" w:pos="980" w:val="left"/>
        </w:tabs>
        <w:numPr>
          <w:ilvl w:val="0"/>
          <w:numId w:val="3"/>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1375410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08" w:right="13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CREATIVE MEDIA &amp; COMMUNITY TRUST CORPORATION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4700 WILSHIRE BOULEVARD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90010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Creative Media &amp; Community Trust Corporation Common Stockholders: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Creative Media &amp; Community Trust Corporation, a Maryland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“Company”), to be held at 11:00 a.m. Pacific Time on July 30, 2026 (and any postponement or adjournment thereof) if you are a common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 of record as of the close of business on June 8, 2026. The meeting will be held as a virtual meeting conducted exclusively via live webcast. You</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able to attend the annual meeting as well as vote and submit your questions during the live webcast of the meeting by visiting</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https://meetnow.global/M5UFTJT)</w:t>
      </w:r>
      <w:r>
        <w:rPr>
          <w:rFonts w:ascii="Times New Roman" w:cs="Times New Roman" w:eastAsia="Times New Roman" w:hAnsi="Times New Roman"/>
          <w:sz w:val="18"/>
          <w:szCs w:val="18"/>
          <w:color w:val="auto"/>
        </w:rPr>
        <w:t xml:space="preserve"> and entering the 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control number included in our notice of Internet availability of the proxy materials, on your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card or in the instructions that accompanied your proxy materials. For procedures to attend the virtual meeting, please refer to Question 6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w:t>
      </w:r>
    </w:p>
    <w:p>
      <w:pPr>
        <w:spacing w:after="0" w:line="212" w:lineRule="exact"/>
        <w:rPr>
          <w:sz w:val="20"/>
          <w:szCs w:val="20"/>
          <w:color w:val="auto"/>
        </w:rPr>
      </w:pPr>
    </w:p>
    <w:p>
      <w:pPr>
        <w:ind w:right="80" w:firstLine="648"/>
        <w:spacing w:after="0" w:line="294" w:lineRule="auto"/>
        <w:rPr>
          <w:sz w:val="20"/>
          <w:szCs w:val="20"/>
          <w:color w:val="auto"/>
        </w:rPr>
      </w:pPr>
      <w:r>
        <w:rPr>
          <w:rFonts w:ascii="Times New Roman" w:cs="Times New Roman" w:eastAsia="Times New Roman" w:hAnsi="Times New Roman"/>
          <w:sz w:val="18"/>
          <w:szCs w:val="18"/>
          <w:color w:val="auto"/>
        </w:rPr>
        <w:t>At the annual meeting, the Company’s common stockholders will be asked to consider and vote upon each of the seven directors nominated in the proxy statement to serve until the next annual meeting of stockholders of the Company, and until their successors are duly elected and qualify. In addition, the Company will ask common stockholders to consider and vote upon (i) the approval, by a non-binding advisory vote, of an advisory resolution on our executive compensation as described in our proxy statement, (ii) the ratification of the appointment of Deloitte &amp; Touche LLP as the Company’s independent registered public accounting firm for the fiscal year ending December 31, 2026 and (iii) approval of the Company’s 2026 Equity Incentive Plan.</w:t>
      </w:r>
    </w:p>
    <w:p>
      <w:pPr>
        <w:spacing w:after="0" w:line="139" w:lineRule="exact"/>
        <w:rPr>
          <w:sz w:val="20"/>
          <w:szCs w:val="20"/>
          <w:color w:val="auto"/>
        </w:rPr>
      </w:pPr>
    </w:p>
    <w:p>
      <w:pPr>
        <w:ind w:right="200" w:firstLine="648"/>
        <w:spacing w:after="0" w:line="313" w:lineRule="auto"/>
        <w:rPr>
          <w:sz w:val="20"/>
          <w:szCs w:val="20"/>
          <w:color w:val="auto"/>
        </w:rPr>
      </w:pPr>
      <w:r>
        <w:rPr>
          <w:rFonts w:ascii="Times New Roman" w:cs="Times New Roman" w:eastAsia="Times New Roman" w:hAnsi="Times New Roman"/>
          <w:sz w:val="18"/>
          <w:szCs w:val="18"/>
          <w:color w:val="auto"/>
        </w:rPr>
        <w:t>The recommendation of the Board of Directors of the Company with respect to each of these proposals is set forth in the proxy statement. These foregoing items of business are more fully described in the proxy statement. We urge you to carefully review the proxy statement.</w:t>
      </w:r>
    </w:p>
    <w:p>
      <w:pPr>
        <w:spacing w:after="0" w:line="118" w:lineRule="exact"/>
        <w:rPr>
          <w:sz w:val="20"/>
          <w:szCs w:val="20"/>
          <w:color w:val="auto"/>
        </w:rPr>
      </w:pPr>
    </w:p>
    <w:p>
      <w:pPr>
        <w:ind w:right="140" w:firstLine="648"/>
        <w:spacing w:after="0" w:line="255" w:lineRule="exact"/>
        <w:rPr>
          <w:sz w:val="20"/>
          <w:szCs w:val="20"/>
          <w:color w:val="auto"/>
        </w:rPr>
      </w:pPr>
      <w:r>
        <w:rPr>
          <w:rFonts w:ascii="Times New Roman" w:cs="Times New Roman" w:eastAsia="Times New Roman" w:hAnsi="Times New Roman"/>
          <w:sz w:val="18"/>
          <w:szCs w:val="18"/>
          <w:b w:val="1"/>
          <w:bCs w:val="1"/>
          <w:color w:val="auto"/>
        </w:rPr>
        <w:t>Your vote is very important. If you were a common stockholder of record as of the close of business on June 8, 2026, please authorize a proxy to vote your shares as soon as possible using one of the following methods to ensure that your vote is counted, regardless of whether you expect to attend the virtual annual meeting: (1) complete, sign, date and return the enclosed proxy card in the postage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paid envelope provided or</w:t>
      </w:r>
    </w:p>
    <w:p>
      <w:pPr>
        <w:spacing w:after="0" w:line="3" w:lineRule="exact"/>
        <w:rPr>
          <w:sz w:val="20"/>
          <w:szCs w:val="20"/>
          <w:color w:val="auto"/>
        </w:rPr>
      </w:pPr>
    </w:p>
    <w:p>
      <w:pPr>
        <w:jc w:val="both"/>
        <w:ind w:right="220" w:firstLine="8"/>
        <w:spacing w:after="0" w:line="300" w:lineRule="auto"/>
        <w:tabs>
          <w:tab w:leader="none" w:pos="255"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otherwise described herein. If you hold your shares in “street name” through a bank, broker or other nominee, you will need to follow the instructions provided to you by your bank, broker or other nominee regarding how to instruct your bank, broker or other nominee to vote your</w:t>
      </w:r>
    </w:p>
    <w:p>
      <w:pPr>
        <w:jc w:val="both"/>
        <w:ind w:right="180"/>
        <w:spacing w:after="0" w:line="30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shares at the annual meeting or, to the extent permitted, regarding how to vote your shares yourself at the annual meeting. If you are a common stockholder of record and you attend the virtual annual meeting and wish to vote at the annual meeting, you may withdraw your proxy and vote online at the annual meeting.</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our Board of Directors, I thank you for your continued support.</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Sincerely,</w:t>
      </w: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David Thompson</w:t>
      </w:r>
    </w:p>
    <w:p>
      <w:pPr>
        <w:spacing w:after="0" w:line="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June 23,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is first being sent or given to the common stockholders of the Company on or about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CREATIVE MEDIA &amp; COMMUNITY TRUST CORPORATION</w:t>
      </w:r>
    </w:p>
    <w:p>
      <w:pPr>
        <w:spacing w:after="0" w:line="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4700 WILSHIRE BOULEVARD</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LOS ANGELES, CALIFORNIA 90010</w:t>
      </w:r>
    </w:p>
    <w:p>
      <w:pPr>
        <w:spacing w:after="0" w:line="2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NOTICE OF ANNUAL MEETING</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OF STOCKHOLDERS OF CREATIVE MEDIA &amp; COMMUNITY TRUST CORPORATION</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TO BE HELD ON JULY 30,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Creative Media &amp; Community Trust Corporation Common Stockholder:</w:t>
      </w:r>
    </w:p>
    <w:p>
      <w:pPr>
        <w:spacing w:after="0" w:line="198" w:lineRule="exact"/>
        <w:rPr>
          <w:sz w:val="20"/>
          <w:szCs w:val="20"/>
          <w:color w:val="auto"/>
        </w:rPr>
      </w:pPr>
    </w:p>
    <w:p>
      <w:pPr>
        <w:ind w:firstLine="648"/>
        <w:spacing w:after="0" w:line="248" w:lineRule="exact"/>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Creative Media &amp; Community Trust Corporation, a Maryland corporation (the “Company”), to be held at 11:00 a.m. Pacific Time on July 30, 2026 (and any postponement or adjournment thereof) if you are a common stockholder of record as of the close of business on June 8, 2026. The Annual Meeting will be held as a virtual meeting conducted exclusively via live webcast. You will be able to attend the annual meeting as well as vote and submit your questions during the live webcast of the meeting by visiting (</w:t>
      </w:r>
      <w:r>
        <w:rPr>
          <w:rFonts w:ascii="Times New Roman" w:cs="Times New Roman" w:eastAsia="Times New Roman" w:hAnsi="Times New Roman"/>
          <w:sz w:val="18"/>
          <w:szCs w:val="18"/>
          <w:u w:val="single" w:color="auto"/>
          <w:color w:val="0000FF"/>
        </w:rPr>
        <w:t>https://meetnow.global/M5UFTJT</w:t>
      </w:r>
      <w:r>
        <w:rPr>
          <w:rFonts w:ascii="Times New Roman" w:cs="Times New Roman" w:eastAsia="Times New Roman" w:hAnsi="Times New Roman"/>
          <w:sz w:val="18"/>
          <w:szCs w:val="18"/>
          <w:color w:val="auto"/>
        </w:rPr>
        <w:t>) and entering the 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control number included in our notice of Internet availability of the proxy materials, on your proxy card or in the instructions that accompanied your proxy materials. For procedures to attend the virtual meeting, please refer to Question 6 of the proxy statement.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Annual Meeting is to consider and vote on the following proposals:</w:t>
      </w:r>
    </w:p>
    <w:p>
      <w:pPr>
        <w:spacing w:after="0" w:line="196" w:lineRule="exact"/>
        <w:rPr>
          <w:sz w:val="20"/>
          <w:szCs w:val="20"/>
          <w:color w:val="auto"/>
        </w:rPr>
      </w:pPr>
    </w:p>
    <w:p>
      <w:pPr>
        <w:ind w:left="980" w:hanging="324"/>
        <w:spacing w:after="0" w:line="28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The election of the seven directors nominated in the proxy statement to serve until the next annual meeting of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until their successors are duly elected and qualify;</w:t>
      </w:r>
    </w:p>
    <w:p>
      <w:pPr>
        <w:spacing w:after="0" w:line="1" w:lineRule="exact"/>
        <w:rPr>
          <w:rFonts w:ascii="Times New Roman" w:cs="Times New Roman" w:eastAsia="Times New Roman" w:hAnsi="Times New Roman"/>
          <w:sz w:val="18"/>
          <w:szCs w:val="18"/>
          <w:color w:val="auto"/>
        </w:rPr>
      </w:pPr>
    </w:p>
    <w:p>
      <w:pPr>
        <w:ind w:left="980" w:right="60" w:hanging="324"/>
        <w:spacing w:after="0" w:line="29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The approval, by a non-binding advisory vote, of an advisory resolution on the Company’s executive compensation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accompanying proxy statement;</w:t>
      </w:r>
    </w:p>
    <w:p>
      <w:pPr>
        <w:ind w:left="980" w:right="160" w:hanging="324"/>
        <w:spacing w:after="0" w:line="27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The ratification of the appointment of Deloitte &amp; Touche LLP as the Company’s independent registered public accounting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ending December 31, 2026;</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 The approval of the 2026 Equity Incentive Plan; and</w:t>
      </w:r>
    </w:p>
    <w:p>
      <w:pPr>
        <w:spacing w:after="0" w:line="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of any other business properly presented at the Annual Meeting and any postponement or adjournment thereof.</w:t>
      </w:r>
    </w:p>
    <w:p>
      <w:pPr>
        <w:spacing w:after="0" w:line="198"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June 8, 2026 as the record date for determining stockholders entitled to notice of and to vote at the Annual Meeting. The proxy card is enclosed with this notice of Annual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6" w:right="419" w:bottom="1440" w:gutter="0" w:footer="0" w:header="0"/>
        </w:sectPr>
      </w:pPr>
    </w:p>
    <w:bookmarkStart w:id="3" w:name="page4"/>
    <w:bookmarkEnd w:id="3"/>
    <w:p>
      <w:pPr>
        <w:ind w:firstLine="648"/>
        <w:spacing w:after="0" w:line="305" w:lineRule="auto"/>
        <w:rPr>
          <w:sz w:val="20"/>
          <w:szCs w:val="20"/>
          <w:color w:val="auto"/>
        </w:rPr>
      </w:pPr>
      <w:r>
        <w:rPr>
          <w:rFonts w:ascii="Times New Roman" w:cs="Times New Roman" w:eastAsia="Times New Roman" w:hAnsi="Times New Roman"/>
          <w:sz w:val="18"/>
          <w:szCs w:val="18"/>
          <w:color w:val="auto"/>
        </w:rPr>
        <w:t>Your vote is important to us and our business. I encourage you to complete, date, sign and return the accompanying proxy card whether or not you plan to attend the virtual Annual Meeting. If you plan to attend the virtual Annual Meeting to vote and your shares are in the name of a broker, bank or other nominee, please contact your broker, bank or other nominee for instructions.</w:t>
      </w:r>
    </w:p>
    <w:p>
      <w:pPr>
        <w:spacing w:after="0" w:line="1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Sincerely,</w:t>
      </w:r>
    </w:p>
    <w:p>
      <w:pPr>
        <w:spacing w:after="0" w:line="2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Brandon Hill</w:t>
      </w:r>
    </w:p>
    <w:p>
      <w:pPr>
        <w:spacing w:after="0" w:line="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and Treasurer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our Annual Meeting of</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to be Held on July 30, 2026.</w:t>
      </w:r>
    </w:p>
    <w:p>
      <w:pPr>
        <w:spacing w:after="0" w:line="198" w:lineRule="exact"/>
        <w:rPr>
          <w:sz w:val="20"/>
          <w:szCs w:val="20"/>
          <w:color w:val="auto"/>
        </w:rPr>
      </w:pPr>
    </w:p>
    <w:p>
      <w:pPr>
        <w:jc w:val="center"/>
        <w:ind w:left="360" w:right="620"/>
        <w:spacing w:after="0" w:line="333" w:lineRule="auto"/>
        <w:rPr>
          <w:sz w:val="20"/>
          <w:szCs w:val="20"/>
          <w:color w:val="auto"/>
        </w:rPr>
      </w:pPr>
      <w:r>
        <w:rPr>
          <w:rFonts w:ascii="Times New Roman" w:cs="Times New Roman" w:eastAsia="Times New Roman" w:hAnsi="Times New Roman"/>
          <w:sz w:val="18"/>
          <w:szCs w:val="18"/>
          <w:b w:val="1"/>
          <w:bCs w:val="1"/>
          <w:color w:val="auto"/>
        </w:rPr>
        <w:t>Our proxy statement and our Annual Report on Form 10-K for the year ended December 31, 2025 are available on our website at https://shareholders.creativemediacommunity.com/financials/sec-filings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0" w:right="379" w:bottom="1440" w:gutter="0" w:footer="0" w:header="0"/>
        </w:sectPr>
      </w:pPr>
    </w:p>
    <w:bookmarkStart w:id="4" w:name="page5"/>
    <w:bookmarkEnd w:id="4"/>
    <w:p>
      <w:pPr>
        <w:ind w:left="456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2026 ANNUAL MEETING OF COMMON STOCKHOLDERS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JULY 30, 2026</w:t>
      </w:r>
    </w:p>
    <w:p>
      <w:pPr>
        <w:spacing w:after="0" w:line="21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This proxy statement, with the enclosed proxy card, is being furnished to the common stockholders of Creative Media &amp; Community Trust Corporation, a Maryland corporation (together with its subsidiaries, the “Company,” “we,” “us” or “our”), in connection with the solicitation by the Board of Directors of the Company (the “Board”) of proxies to be voted at the 2026 Annual Meeting of Stockholders of the Company (the “Annual Meeting”) to be held at 11:00 a.m. Pacific Time on July 30, 2026 (and any postponement or adjournment thereof) exclusively via live webcast.</w:t>
      </w:r>
    </w:p>
    <w:p>
      <w:pPr>
        <w:spacing w:after="0" w:line="13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 xml:space="preserve">The Notice of Annual Meeting, this proxy statement, and the accompanying proxy card are being mailed to all common stockholders of record as of the below record date on or about June 26, 2026. The proxy statement and our Annual Report on Form 10-K for the year ended December 31, 2025 are available on our website at </w:t>
      </w:r>
      <w:r>
        <w:rPr>
          <w:rFonts w:ascii="Times New Roman" w:cs="Times New Roman" w:eastAsia="Times New Roman" w:hAnsi="Times New Roman"/>
          <w:sz w:val="18"/>
          <w:szCs w:val="18"/>
          <w:u w:val="single" w:color="auto"/>
          <w:color w:val="0000FF"/>
        </w:rPr>
        <w:t>https://shareholders.creativemediacommunity.com/financials/sec-filings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 w:firstLine="648"/>
        <w:spacing w:after="0" w:line="302" w:lineRule="auto"/>
        <w:rPr>
          <w:sz w:val="20"/>
          <w:szCs w:val="20"/>
          <w:color w:val="auto"/>
        </w:rPr>
      </w:pPr>
      <w:r>
        <w:rPr>
          <w:rFonts w:ascii="Times New Roman" w:cs="Times New Roman" w:eastAsia="Times New Roman" w:hAnsi="Times New Roman"/>
          <w:sz w:val="18"/>
          <w:szCs w:val="18"/>
          <w:color w:val="auto"/>
        </w:rPr>
        <w:t>Only common stockholders of record as of the close of business on June 8, 2026 (the “record date”) are entitled to notice of and to vote at the Annual Meeting. As of the record date, we had 2,758,835 shares of common stock, $0.001 par value per share (“Common Stock”), outstanding. Each holder of record of Common Stock as of the close of business on the record date is entitled to one vote on each matter properly brought before the Annual Meeting for each share of Common Stock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05"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6"/>
              </w:rPr>
              <w:t>Page</w:t>
            </w:r>
          </w:p>
        </w:tc>
        <w:tc>
          <w:tcPr>
            <w:tcW w:w="0" w:type="dxa"/>
            <w:vAlign w:val="bottom"/>
          </w:tcPr>
          <w:p>
            <w:pPr>
              <w:spacing w:after="0"/>
              <w:rPr>
                <w:sz w:val="1"/>
                <w:szCs w:val="1"/>
                <w:color w:val="auto"/>
              </w:rPr>
            </w:pPr>
          </w:p>
        </w:tc>
      </w:tr>
      <w:tr>
        <w:trPr>
          <w:trHeight w:val="479"/>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QUESTIONS AND ANSWERS ABOUT THE ANNUAL MEETING AND VOTING</w:t>
            </w:r>
          </w:p>
        </w:tc>
        <w:tc>
          <w:tcPr>
            <w:tcW w:w="340" w:type="dxa"/>
            <w:vAlign w:val="bottom"/>
          </w:tcPr>
          <w:p>
            <w:pPr>
              <w:spacing w:after="0"/>
              <w:rPr>
                <w:sz w:val="24"/>
                <w:szCs w:val="24"/>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E32E1"/>
              </w:rPr>
              <w:t>1</w:t>
            </w:r>
          </w:p>
        </w:tc>
        <w:tc>
          <w:tcPr>
            <w:tcW w:w="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SECURITY OWNERSHIP OF THE COMPANY’S BOARD OF DIRECTORS AND EXECUTIVE OFFICERS AND CURRENT</w:t>
            </w:r>
          </w:p>
        </w:tc>
        <w:tc>
          <w:tcPr>
            <w:tcW w:w="34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960" w:type="dxa"/>
            <w:vAlign w:val="bottom"/>
            <w:tcBorders>
              <w:top w:val="single" w:sz="8" w:color="0E32E1"/>
              <w:bottom w:val="single" w:sz="8" w:color="0E32E1"/>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0E32E1"/>
              </w:rPr>
              <w:t>BENEFICIAL OWNERS</w:t>
            </w:r>
          </w:p>
        </w:tc>
        <w:tc>
          <w:tcPr>
            <w:tcW w:w="7960" w:type="dxa"/>
            <w:vAlign w:val="bottom"/>
            <w:tcBorders>
              <w:top w:val="single" w:sz="8" w:color="0E32E1"/>
            </w:tcBorders>
            <w:gridSpan w:val="17"/>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bottom w:val="single" w:sz="8" w:color="0E32E1"/>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580" w:type="dxa"/>
            <w:vAlign w:val="bottom"/>
            <w:tcBorders>
              <w:bottom w:val="single" w:sz="8" w:color="0E32E1"/>
            </w:tcBorders>
            <w:gridSpan w:val="11"/>
          </w:tcPr>
          <w:p>
            <w:pPr>
              <w:spacing w:after="0" w:line="203" w:lineRule="exact"/>
              <w:rPr>
                <w:sz w:val="20"/>
                <w:szCs w:val="20"/>
                <w:color w:val="auto"/>
              </w:rPr>
            </w:pPr>
            <w:r>
              <w:rPr>
                <w:rFonts w:ascii="Times New Roman" w:cs="Times New Roman" w:eastAsia="Times New Roman" w:hAnsi="Times New Roman"/>
                <w:sz w:val="18"/>
                <w:szCs w:val="18"/>
                <w:b w:val="1"/>
                <w:bCs w:val="1"/>
                <w:color w:val="0E32E1"/>
                <w:w w:val="99"/>
              </w:rPr>
              <w:t>PROPOSAL 1: ELECTION OF DIRECTORS</w:t>
            </w:r>
          </w:p>
        </w:tc>
        <w:tc>
          <w:tcPr>
            <w:tcW w:w="690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E32E1"/>
            </w:tcBorders>
          </w:tcPr>
          <w:p>
            <w:pPr>
              <w:jc w:val="center"/>
              <w:spacing w:after="0" w:line="203" w:lineRule="exact"/>
              <w:rPr>
                <w:sz w:val="20"/>
                <w:szCs w:val="20"/>
                <w:color w:val="auto"/>
              </w:rPr>
            </w:pPr>
            <w:r>
              <w:rPr>
                <w:rFonts w:ascii="Times New Roman" w:cs="Times New Roman" w:eastAsia="Times New Roman" w:hAnsi="Times New Roman"/>
                <w:sz w:val="18"/>
                <w:szCs w:val="18"/>
                <w:color w:val="0E32E1"/>
              </w:rPr>
              <w:t>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68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b w:val="1"/>
                <w:bCs w:val="1"/>
                <w:color w:val="0E32E1"/>
                <w:w w:val="99"/>
              </w:rPr>
              <w:t>PROPOSAL 2: ADVISORY VOTE ON EXECUTIVE COMPENSATION</w:t>
            </w:r>
          </w:p>
        </w:tc>
        <w:tc>
          <w:tcPr>
            <w:tcW w:w="480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E32E1"/>
            </w:tcBorders>
          </w:tcPr>
          <w:p>
            <w:pPr>
              <w:jc w:val="center"/>
              <w:spacing w:after="0"/>
              <w:rPr>
                <w:sz w:val="20"/>
                <w:szCs w:val="20"/>
                <w:color w:val="auto"/>
              </w:rPr>
            </w:pPr>
            <w:r>
              <w:rPr>
                <w:rFonts w:ascii="Times New Roman" w:cs="Times New Roman" w:eastAsia="Times New Roman" w:hAnsi="Times New Roman"/>
                <w:sz w:val="18"/>
                <w:szCs w:val="18"/>
                <w:color w:val="0E32E1"/>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PROPOSAL 3: RATIFICATION OF THE APPOINTMENT OF DELOITTE &amp; TOUCHE LLP AS INDEPENDENT REGISTERED</w:t>
            </w:r>
          </w:p>
        </w:tc>
        <w:tc>
          <w:tcPr>
            <w:tcW w:w="34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500" w:type="dxa"/>
            <w:vAlign w:val="bottom"/>
            <w:tcBorders>
              <w:top w:val="single" w:sz="8" w:color="0E32E1"/>
              <w:bottom w:val="single" w:sz="8" w:color="0E32E1"/>
            </w:tcBorders>
            <w:gridSpan w:val="4"/>
          </w:tcPr>
          <w:p>
            <w:pPr>
              <w:spacing w:after="0" w:line="142" w:lineRule="exact"/>
              <w:rPr>
                <w:sz w:val="20"/>
                <w:szCs w:val="20"/>
                <w:color w:val="auto"/>
              </w:rPr>
            </w:pPr>
            <w:r>
              <w:rPr>
                <w:rFonts w:ascii="Times New Roman" w:cs="Times New Roman" w:eastAsia="Times New Roman" w:hAnsi="Times New Roman"/>
                <w:sz w:val="16"/>
                <w:szCs w:val="16"/>
                <w:b w:val="1"/>
                <w:bCs w:val="1"/>
                <w:color w:val="0E32E1"/>
              </w:rPr>
              <w:t>PUBLIC ACCOUNTING FIRM</w:t>
            </w:r>
          </w:p>
        </w:tc>
        <w:tc>
          <w:tcPr>
            <w:tcW w:w="7700" w:type="dxa"/>
            <w:vAlign w:val="bottom"/>
            <w:tcBorders>
              <w:top w:val="single" w:sz="8" w:color="0E32E1"/>
            </w:tcBorders>
            <w:gridSpan w:val="16"/>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bottom w:val="single" w:sz="8" w:color="0E32E1"/>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4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b w:val="1"/>
                <w:bCs w:val="1"/>
                <w:color w:val="0E32E1"/>
              </w:rPr>
              <w:t>PROPOSAL 4: APPROVAL OF 2026 EQUITY INCENTIVE PLAN</w:t>
            </w:r>
          </w:p>
        </w:tc>
        <w:tc>
          <w:tcPr>
            <w:tcW w:w="440" w:type="dxa"/>
            <w:vAlign w:val="bottom"/>
            <w:gridSpan w:val="2"/>
          </w:tcPr>
          <w:p>
            <w:pPr>
              <w:jc w:val="center"/>
              <w:ind w:left="170"/>
              <w:spacing w:after="0" w:line="203" w:lineRule="exact"/>
              <w:rPr>
                <w:sz w:val="20"/>
                <w:szCs w:val="20"/>
                <w:color w:val="auto"/>
              </w:rPr>
            </w:pPr>
            <w:r>
              <w:rPr>
                <w:rFonts w:ascii="Times New Roman" w:cs="Times New Roman" w:eastAsia="Times New Roman" w:hAnsi="Times New Roman"/>
                <w:sz w:val="18"/>
                <w:szCs w:val="18"/>
                <w:color w:val="0E32E1"/>
                <w:w w:val="99"/>
              </w:rPr>
              <w:t>10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E32E1"/>
                <w:w w:val="98"/>
              </w:rPr>
              <w:t>CORPORATE GOVERNANCE</w:t>
            </w:r>
          </w:p>
        </w:tc>
        <w:tc>
          <w:tcPr>
            <w:tcW w:w="2760" w:type="dxa"/>
            <w:vAlign w:val="bottom"/>
            <w:gridSpan w:val="11"/>
          </w:tcPr>
          <w:p>
            <w:pPr>
              <w:spacing w:after="0"/>
              <w:rPr>
                <w:sz w:val="18"/>
                <w:szCs w:val="18"/>
                <w:color w:val="auto"/>
              </w:rPr>
            </w:pPr>
          </w:p>
        </w:tc>
        <w:tc>
          <w:tcPr>
            <w:tcW w:w="5240" w:type="dxa"/>
            <w:vAlign w:val="bottom"/>
            <w:gridSpan w:val="7"/>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920" w:type="dxa"/>
            <w:vAlign w:val="bottom"/>
            <w:gridSpan w:val="2"/>
            <w:shd w:val="clear" w:color="auto" w:fill="0E32E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AUDIT COMMITTEE REPORT</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1000" w:type="dxa"/>
            <w:vAlign w:val="bottom"/>
            <w:gridSpan w:val="4"/>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EXECUTIVE COMPENSATION</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1020" w:type="dxa"/>
            <w:vAlign w:val="bottom"/>
            <w:gridSpan w:val="5"/>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RELATED PERSON TRANSACTIONS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1240" w:type="dxa"/>
            <w:vAlign w:val="bottom"/>
            <w:gridSpan w:val="6"/>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INDEPENDENT PUBLIC ACCOUNTING FIRM</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1240" w:type="dxa"/>
            <w:vAlign w:val="bottom"/>
            <w:gridSpan w:val="6"/>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420" w:type="dxa"/>
            <w:vAlign w:val="bottom"/>
            <w:gridSpan w:val="2"/>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E32E1"/>
              </w:rPr>
              <w:t>DELINQUENT SECTION 16(A) REPORTS</w:t>
            </w:r>
          </w:p>
        </w:tc>
        <w:tc>
          <w:tcPr>
            <w:tcW w:w="6640" w:type="dxa"/>
            <w:vAlign w:val="bottom"/>
            <w:gridSpan w:val="9"/>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E32E1"/>
              </w:rPr>
              <w:t>OTHER MATTERS</w:t>
            </w:r>
          </w:p>
        </w:tc>
        <w:tc>
          <w:tcPr>
            <w:tcW w:w="7060" w:type="dxa"/>
            <w:vAlign w:val="bottom"/>
            <w:gridSpan w:val="11"/>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 w:type="dxa"/>
            <w:vAlign w:val="bottom"/>
          </w:tcPr>
          <w:p>
            <w:pPr>
              <w:spacing w:after="0"/>
              <w:rPr>
                <w:sz w:val="24"/>
                <w:szCs w:val="24"/>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E32E1"/>
                <w:w w:val="99"/>
              </w:rPr>
              <w:t>STOCKHOLDER PROPOSALS FOR THE 2027 ANNUAL MEETING</w:t>
            </w:r>
          </w:p>
        </w:tc>
        <w:tc>
          <w:tcPr>
            <w:tcW w:w="4960" w:type="dxa"/>
            <w:vAlign w:val="bottom"/>
            <w:gridSpan w:val="6"/>
          </w:tcPr>
          <w:p>
            <w:pPr>
              <w:spacing w:after="0"/>
              <w:rPr>
                <w:sz w:val="24"/>
                <w:szCs w:val="24"/>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E32E1"/>
                <w:w w:val="97"/>
              </w:rPr>
              <w:t>AVAILABILITY OF DOCUMENTS</w:t>
            </w:r>
          </w:p>
        </w:tc>
        <w:tc>
          <w:tcPr>
            <w:tcW w:w="2720" w:type="dxa"/>
            <w:vAlign w:val="bottom"/>
            <w:gridSpan w:val="8"/>
          </w:tcPr>
          <w:p>
            <w:pPr>
              <w:spacing w:after="0"/>
              <w:rPr>
                <w:sz w:val="18"/>
                <w:szCs w:val="18"/>
                <w:color w:val="auto"/>
              </w:rPr>
            </w:pPr>
          </w:p>
        </w:tc>
        <w:tc>
          <w:tcPr>
            <w:tcW w:w="4960" w:type="dxa"/>
            <w:vAlign w:val="bottom"/>
            <w:gridSpan w:val="6"/>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gridSpan w:val="7"/>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REDUCE DUPLICATE MAILINGS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20" w:type="dxa"/>
            <w:vAlign w:val="bottom"/>
            <w:gridSpan w:val="8"/>
            <w:shd w:val="clear" w:color="auto" w:fill="0E32E1"/>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WHERE YOU CAN FIND MORE INFORMATION</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20" w:type="dxa"/>
            <w:vAlign w:val="bottom"/>
            <w:gridSpan w:val="13"/>
            <w:shd w:val="clear" w:color="auto" w:fill="0E32E1"/>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APPENDIX A: CREATIVE MEDIA &amp; COMMUNITY TRUST CORPORATION 2026 EQUITY INCENTIVE PLAN</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E32E1"/>
                <w:w w:val="99"/>
              </w:rPr>
              <w:t>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2"/>
        </w:trPr>
        <w:tc>
          <w:tcPr>
            <w:tcW w:w="80" w:type="dxa"/>
            <w:vAlign w:val="bottom"/>
            <w:tcBorders>
              <w:bottom w:val="single" w:sz="8" w:color="9A9A9A"/>
            </w:tcBorders>
          </w:tcPr>
          <w:p>
            <w:pPr>
              <w:spacing w:after="0"/>
              <w:rPr>
                <w:sz w:val="24"/>
                <w:szCs w:val="24"/>
                <w:color w:val="auto"/>
              </w:rPr>
            </w:pPr>
          </w:p>
        </w:tc>
        <w:tc>
          <w:tcPr>
            <w:tcW w:w="1560" w:type="dxa"/>
            <w:vAlign w:val="bottom"/>
            <w:tcBorders>
              <w:top w:val="single" w:sz="8" w:color="0E32E1"/>
              <w:bottom w:val="single" w:sz="8" w:color="9A9A9A"/>
            </w:tcBorders>
          </w:tcPr>
          <w:p>
            <w:pPr>
              <w:spacing w:after="0"/>
              <w:rPr>
                <w:sz w:val="24"/>
                <w:szCs w:val="24"/>
                <w:color w:val="auto"/>
              </w:rPr>
            </w:pPr>
          </w:p>
        </w:tc>
        <w:tc>
          <w:tcPr>
            <w:tcW w:w="400" w:type="dxa"/>
            <w:vAlign w:val="bottom"/>
            <w:tcBorders>
              <w:top w:val="single" w:sz="8" w:color="0E32E1"/>
              <w:bottom w:val="single" w:sz="8" w:color="9A9A9A"/>
            </w:tcBorders>
          </w:tcPr>
          <w:p>
            <w:pPr>
              <w:spacing w:after="0"/>
              <w:rPr>
                <w:sz w:val="24"/>
                <w:szCs w:val="24"/>
                <w:color w:val="auto"/>
              </w:rPr>
            </w:pPr>
          </w:p>
        </w:tc>
        <w:tc>
          <w:tcPr>
            <w:tcW w:w="520" w:type="dxa"/>
            <w:vAlign w:val="bottom"/>
            <w:tcBorders>
              <w:top w:val="single" w:sz="8" w:color="0E32E1"/>
              <w:bottom w:val="single" w:sz="8" w:color="9A9A9A"/>
            </w:tcBorders>
          </w:tcPr>
          <w:p>
            <w:pPr>
              <w:spacing w:after="0"/>
              <w:rPr>
                <w:sz w:val="24"/>
                <w:szCs w:val="24"/>
                <w:color w:val="auto"/>
              </w:rPr>
            </w:pPr>
          </w:p>
        </w:tc>
        <w:tc>
          <w:tcPr>
            <w:tcW w:w="20" w:type="dxa"/>
            <w:vAlign w:val="bottom"/>
            <w:tcBorders>
              <w:top w:val="single" w:sz="8" w:color="0E32E1"/>
              <w:bottom w:val="single" w:sz="8" w:color="9A9A9A"/>
            </w:tcBorders>
          </w:tcPr>
          <w:p>
            <w:pPr>
              <w:spacing w:after="0"/>
              <w:rPr>
                <w:sz w:val="24"/>
                <w:szCs w:val="24"/>
                <w:color w:val="auto"/>
              </w:rPr>
            </w:pPr>
          </w:p>
        </w:tc>
        <w:tc>
          <w:tcPr>
            <w:tcW w:w="60" w:type="dxa"/>
            <w:vAlign w:val="bottom"/>
            <w:tcBorders>
              <w:top w:val="single" w:sz="8" w:color="0E32E1"/>
              <w:bottom w:val="single" w:sz="8" w:color="9A9A9A"/>
            </w:tcBorders>
          </w:tcPr>
          <w:p>
            <w:pPr>
              <w:spacing w:after="0"/>
              <w:rPr>
                <w:sz w:val="24"/>
                <w:szCs w:val="24"/>
                <w:color w:val="auto"/>
              </w:rPr>
            </w:pPr>
          </w:p>
        </w:tc>
        <w:tc>
          <w:tcPr>
            <w:tcW w:w="20" w:type="dxa"/>
            <w:vAlign w:val="bottom"/>
            <w:tcBorders>
              <w:top w:val="single" w:sz="8" w:color="0E32E1"/>
              <w:bottom w:val="single" w:sz="8" w:color="9A9A9A"/>
            </w:tcBorders>
          </w:tcPr>
          <w:p>
            <w:pPr>
              <w:spacing w:after="0"/>
              <w:rPr>
                <w:sz w:val="24"/>
                <w:szCs w:val="24"/>
                <w:color w:val="auto"/>
              </w:rPr>
            </w:pPr>
          </w:p>
        </w:tc>
        <w:tc>
          <w:tcPr>
            <w:tcW w:w="220" w:type="dxa"/>
            <w:vAlign w:val="bottom"/>
            <w:tcBorders>
              <w:top w:val="single" w:sz="8" w:color="0E32E1"/>
              <w:bottom w:val="single" w:sz="8" w:color="9A9A9A"/>
            </w:tcBorders>
          </w:tcPr>
          <w:p>
            <w:pPr>
              <w:spacing w:after="0"/>
              <w:rPr>
                <w:sz w:val="24"/>
                <w:szCs w:val="24"/>
                <w:color w:val="auto"/>
              </w:rPr>
            </w:pPr>
          </w:p>
        </w:tc>
        <w:tc>
          <w:tcPr>
            <w:tcW w:w="20" w:type="dxa"/>
            <w:vAlign w:val="bottom"/>
            <w:tcBorders>
              <w:top w:val="single" w:sz="8" w:color="0E32E1"/>
              <w:bottom w:val="single" w:sz="8" w:color="9A9A9A"/>
            </w:tcBorders>
          </w:tcPr>
          <w:p>
            <w:pPr>
              <w:spacing w:after="0"/>
              <w:rPr>
                <w:sz w:val="24"/>
                <w:szCs w:val="24"/>
                <w:color w:val="auto"/>
              </w:rPr>
            </w:pPr>
          </w:p>
        </w:tc>
        <w:tc>
          <w:tcPr>
            <w:tcW w:w="280" w:type="dxa"/>
            <w:vAlign w:val="bottom"/>
            <w:tcBorders>
              <w:top w:val="single" w:sz="8" w:color="0E32E1"/>
              <w:bottom w:val="single" w:sz="8" w:color="9A9A9A"/>
            </w:tcBorders>
          </w:tcPr>
          <w:p>
            <w:pPr>
              <w:spacing w:after="0"/>
              <w:rPr>
                <w:sz w:val="24"/>
                <w:szCs w:val="24"/>
                <w:color w:val="auto"/>
              </w:rPr>
            </w:pPr>
          </w:p>
        </w:tc>
        <w:tc>
          <w:tcPr>
            <w:tcW w:w="320" w:type="dxa"/>
            <w:vAlign w:val="bottom"/>
            <w:tcBorders>
              <w:top w:val="single" w:sz="8" w:color="0E32E1"/>
              <w:bottom w:val="single" w:sz="8" w:color="9A9A9A"/>
            </w:tcBorders>
          </w:tcPr>
          <w:p>
            <w:pPr>
              <w:spacing w:after="0"/>
              <w:rPr>
                <w:sz w:val="24"/>
                <w:szCs w:val="24"/>
                <w:color w:val="auto"/>
              </w:rPr>
            </w:pPr>
          </w:p>
        </w:tc>
        <w:tc>
          <w:tcPr>
            <w:tcW w:w="160" w:type="dxa"/>
            <w:vAlign w:val="bottom"/>
            <w:tcBorders>
              <w:top w:val="single" w:sz="8" w:color="0E32E1"/>
              <w:bottom w:val="single" w:sz="8" w:color="9A9A9A"/>
            </w:tcBorders>
          </w:tcPr>
          <w:p>
            <w:pPr>
              <w:spacing w:after="0"/>
              <w:rPr>
                <w:sz w:val="24"/>
                <w:szCs w:val="24"/>
                <w:color w:val="auto"/>
              </w:rPr>
            </w:pPr>
          </w:p>
        </w:tc>
        <w:tc>
          <w:tcPr>
            <w:tcW w:w="260" w:type="dxa"/>
            <w:vAlign w:val="bottom"/>
            <w:tcBorders>
              <w:top w:val="single" w:sz="8" w:color="0E32E1"/>
              <w:bottom w:val="single" w:sz="8" w:color="9A9A9A"/>
            </w:tcBorders>
          </w:tcPr>
          <w:p>
            <w:pPr>
              <w:spacing w:after="0"/>
              <w:rPr>
                <w:sz w:val="24"/>
                <w:szCs w:val="24"/>
                <w:color w:val="auto"/>
              </w:rPr>
            </w:pPr>
          </w:p>
        </w:tc>
        <w:tc>
          <w:tcPr>
            <w:tcW w:w="180" w:type="dxa"/>
            <w:vAlign w:val="bottom"/>
            <w:tcBorders>
              <w:top w:val="single" w:sz="8" w:color="0E32E1"/>
              <w:bottom w:val="single" w:sz="8" w:color="9A9A9A"/>
            </w:tcBorders>
          </w:tcPr>
          <w:p>
            <w:pPr>
              <w:spacing w:after="0"/>
              <w:rPr>
                <w:sz w:val="24"/>
                <w:szCs w:val="24"/>
                <w:color w:val="auto"/>
              </w:rPr>
            </w:pPr>
          </w:p>
        </w:tc>
        <w:tc>
          <w:tcPr>
            <w:tcW w:w="1220" w:type="dxa"/>
            <w:vAlign w:val="bottom"/>
            <w:tcBorders>
              <w:top w:val="single" w:sz="8" w:color="0E32E1"/>
              <w:bottom w:val="single" w:sz="8" w:color="9A9A9A"/>
            </w:tcBorders>
          </w:tcPr>
          <w:p>
            <w:pPr>
              <w:spacing w:after="0"/>
              <w:rPr>
                <w:sz w:val="24"/>
                <w:szCs w:val="24"/>
                <w:color w:val="auto"/>
              </w:rPr>
            </w:pPr>
          </w:p>
        </w:tc>
        <w:tc>
          <w:tcPr>
            <w:tcW w:w="280" w:type="dxa"/>
            <w:vAlign w:val="bottom"/>
            <w:tcBorders>
              <w:top w:val="single" w:sz="8" w:color="0E32E1"/>
              <w:bottom w:val="single" w:sz="8" w:color="9A9A9A"/>
            </w:tcBorders>
          </w:tcPr>
          <w:p>
            <w:pPr>
              <w:spacing w:after="0"/>
              <w:rPr>
                <w:sz w:val="24"/>
                <w:szCs w:val="24"/>
                <w:color w:val="auto"/>
              </w:rPr>
            </w:pPr>
          </w:p>
        </w:tc>
        <w:tc>
          <w:tcPr>
            <w:tcW w:w="160" w:type="dxa"/>
            <w:vAlign w:val="bottom"/>
            <w:tcBorders>
              <w:top w:val="single" w:sz="8" w:color="0E32E1"/>
              <w:bottom w:val="single" w:sz="8" w:color="9A9A9A"/>
            </w:tcBorders>
          </w:tcPr>
          <w:p>
            <w:pPr>
              <w:spacing w:after="0"/>
              <w:rPr>
                <w:sz w:val="24"/>
                <w:szCs w:val="24"/>
                <w:color w:val="auto"/>
              </w:rPr>
            </w:pPr>
          </w:p>
        </w:tc>
        <w:tc>
          <w:tcPr>
            <w:tcW w:w="780" w:type="dxa"/>
            <w:vAlign w:val="bottom"/>
            <w:tcBorders>
              <w:top w:val="single" w:sz="8" w:color="0E32E1"/>
              <w:bottom w:val="single" w:sz="8" w:color="9A9A9A"/>
            </w:tcBorders>
          </w:tcPr>
          <w:p>
            <w:pPr>
              <w:spacing w:after="0"/>
              <w:rPr>
                <w:sz w:val="24"/>
                <w:szCs w:val="24"/>
                <w:color w:val="auto"/>
              </w:rPr>
            </w:pPr>
          </w:p>
        </w:tc>
        <w:tc>
          <w:tcPr>
            <w:tcW w:w="2580" w:type="dxa"/>
            <w:vAlign w:val="bottom"/>
            <w:tcBorders>
              <w:top w:val="single" w:sz="8" w:color="0E32E1"/>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E32E1"/>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Who is entitled to vote?</w:t>
      </w:r>
    </w:p>
    <w:p>
      <w:pPr>
        <w:spacing w:after="0" w:line="216"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8"/>
          <w:szCs w:val="18"/>
          <w:color w:val="auto"/>
        </w:rPr>
        <w:t>Only holders of record of the Company’s common stock, par value $0.001 per share (the “Common Stock”) as of the close of business on June 8, 2026 (the “record date”) are entitled to notice of and to vote at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What is a proxy?</w:t>
      </w:r>
    </w:p>
    <w:p>
      <w:pPr>
        <w:spacing w:after="0" w:line="202"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you own. That other person is called a proxy. If you designate someone as your proxy in a written document, that document is also called a proxy or a proxy card. We have designated our Chief Executive Officer, David Thompson, and our Chief Financial Officer, Brandon Hill, as proxies for the Annual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How many votes are each share of Common Stock entitled to?</w:t>
      </w:r>
    </w:p>
    <w:p>
      <w:pPr>
        <w:spacing w:after="0" w:line="202" w:lineRule="exact"/>
        <w:rPr>
          <w:sz w:val="20"/>
          <w:szCs w:val="20"/>
          <w:color w:val="auto"/>
        </w:rPr>
      </w:pPr>
    </w:p>
    <w:p>
      <w:pPr>
        <w:ind w:right="100" w:firstLine="648"/>
        <w:spacing w:after="0" w:line="329" w:lineRule="auto"/>
        <w:rPr>
          <w:sz w:val="20"/>
          <w:szCs w:val="20"/>
          <w:color w:val="auto"/>
        </w:rPr>
      </w:pPr>
      <w:r>
        <w:rPr>
          <w:rFonts w:ascii="Times New Roman" w:cs="Times New Roman" w:eastAsia="Times New Roman" w:hAnsi="Times New Roman"/>
          <w:sz w:val="18"/>
          <w:szCs w:val="18"/>
          <w:color w:val="auto"/>
        </w:rPr>
        <w:t>Each holder of record of Common Stock on the record date is entitled to one vote on each matter properly brought before the Annual Meeting for each share of Common Stock held.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What is the difference between a stockholder of record and a stockholder who holds shares in “street name?”</w:t>
      </w:r>
    </w:p>
    <w:p>
      <w:pPr>
        <w:spacing w:after="0" w:line="216" w:lineRule="exact"/>
        <w:rPr>
          <w:sz w:val="20"/>
          <w:szCs w:val="20"/>
          <w:color w:val="auto"/>
        </w:rPr>
      </w:pPr>
    </w:p>
    <w:p>
      <w:pPr>
        <w:ind w:right="520" w:firstLine="648"/>
        <w:spacing w:after="0" w:line="329" w:lineRule="auto"/>
        <w:rPr>
          <w:sz w:val="20"/>
          <w:szCs w:val="20"/>
          <w:color w:val="auto"/>
        </w:rPr>
      </w:pPr>
      <w:r>
        <w:rPr>
          <w:rFonts w:ascii="Times New Roman" w:cs="Times New Roman" w:eastAsia="Times New Roman" w:hAnsi="Times New Roman"/>
          <w:sz w:val="18"/>
          <w:szCs w:val="18"/>
          <w:color w:val="auto"/>
        </w:rPr>
        <w:t>If your shares are registered in your name, you are a stockholder of record. If your shares are held in the name of your bank, broker or other nominee, your shares are held in “street name” and you are a beneficial owner.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How do I attend the Annual Meeting?</w:t>
      </w:r>
    </w:p>
    <w:p>
      <w:pPr>
        <w:spacing w:after="0" w:line="216" w:lineRule="exact"/>
        <w:rPr>
          <w:sz w:val="20"/>
          <w:szCs w:val="20"/>
          <w:color w:val="auto"/>
        </w:rPr>
      </w:pPr>
    </w:p>
    <w:p>
      <w:pPr>
        <w:ind w:right="100" w:firstLine="648"/>
        <w:spacing w:after="0" w:line="297" w:lineRule="auto"/>
        <w:rPr>
          <w:sz w:val="20"/>
          <w:szCs w:val="20"/>
          <w:color w:val="auto"/>
        </w:rPr>
      </w:pPr>
      <w:r>
        <w:rPr>
          <w:rFonts w:ascii="Times New Roman" w:cs="Times New Roman" w:eastAsia="Times New Roman" w:hAnsi="Times New Roman"/>
          <w:sz w:val="18"/>
          <w:szCs w:val="18"/>
          <w:color w:val="auto"/>
        </w:rPr>
        <w:t>Our Annual Meeting will be a completely virtual meeting conducted exclusively via live webcast. The meeting will begin promptly at 11:00 a.m. Pacific Time on July 30, 2026. We encourage you to access the Annual Meeting prior to the start time. Online check-in will begin at 10:45 a.m. Pacific Time, and you should allow ample time for the check-in procedures. If you encounter any difficulties accessing the virtual-only Annual Meeting platform, including any difficulties voting or submitting questions, you may call the technical support number that will be posted in the FAQ guide on the meeting site.</w:t>
      </w:r>
    </w:p>
    <w:p>
      <w:pPr>
        <w:spacing w:after="0" w:line="123" w:lineRule="exact"/>
        <w:rPr>
          <w:sz w:val="20"/>
          <w:szCs w:val="20"/>
          <w:color w:val="auto"/>
        </w:rPr>
      </w:pPr>
    </w:p>
    <w:p>
      <w:pPr>
        <w:ind w:right="180" w:firstLine="648"/>
        <w:spacing w:after="0" w:line="305" w:lineRule="auto"/>
        <w:rPr>
          <w:sz w:val="20"/>
          <w:szCs w:val="20"/>
          <w:color w:val="auto"/>
        </w:rPr>
      </w:pPr>
      <w:r>
        <w:rPr>
          <w:rFonts w:ascii="Times New Roman" w:cs="Times New Roman" w:eastAsia="Times New Roman" w:hAnsi="Times New Roman"/>
          <w:sz w:val="18"/>
          <w:szCs w:val="18"/>
          <w:color w:val="auto"/>
        </w:rPr>
        <w:t xml:space="preserve">To participate in the virtual meeting, visit </w:t>
      </w:r>
      <w:r>
        <w:rPr>
          <w:rFonts w:ascii="Times New Roman" w:cs="Times New Roman" w:eastAsia="Times New Roman" w:hAnsi="Times New Roman"/>
          <w:sz w:val="18"/>
          <w:szCs w:val="18"/>
          <w:u w:val="single" w:color="auto"/>
          <w:color w:val="0000FF"/>
        </w:rPr>
        <w:t>https://meetnow.global/M5UFTJT</w:t>
      </w:r>
      <w:r>
        <w:rPr>
          <w:rFonts w:ascii="Times New Roman" w:cs="Times New Roman" w:eastAsia="Times New Roman" w:hAnsi="Times New Roman"/>
          <w:sz w:val="18"/>
          <w:szCs w:val="18"/>
          <w:color w:val="auto"/>
        </w:rPr>
        <w:t xml:space="preserve"> and enter the control number included on your proxy card or on the instructions that accompanied your proxy materials. Upon completing your registration, you will receive further instructions via email, including your unique links that will allow you access to the meeting and will also permit you to submit questions.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How can I vote at the Annual Meeting?</w:t>
      </w:r>
    </w:p>
    <w:p>
      <w:pPr>
        <w:spacing w:after="0" w:line="283" w:lineRule="exact"/>
        <w:rPr>
          <w:sz w:val="20"/>
          <w:szCs w:val="20"/>
          <w:color w:val="auto"/>
        </w:rPr>
      </w:pPr>
    </w:p>
    <w:p>
      <w:pPr>
        <w:ind w:right="220" w:firstLine="648"/>
        <w:spacing w:after="0" w:line="245" w:lineRule="exact"/>
        <w:rPr>
          <w:sz w:val="20"/>
          <w:szCs w:val="20"/>
          <w:color w:val="auto"/>
        </w:rPr>
      </w:pPr>
      <w:r>
        <w:rPr>
          <w:rFonts w:ascii="Times New Roman" w:cs="Times New Roman" w:eastAsia="Times New Roman" w:hAnsi="Times New Roman"/>
          <w:sz w:val="18"/>
          <w:szCs w:val="18"/>
          <w:color w:val="auto"/>
        </w:rPr>
        <w:t xml:space="preserve">You will be able to attend the annual meeting as well as vote and submit your questions during the live webcast of the meeting by visiting </w:t>
      </w:r>
      <w:r>
        <w:rPr>
          <w:rFonts w:ascii="Times New Roman" w:cs="Times New Roman" w:eastAsia="Times New Roman" w:hAnsi="Times New Roman"/>
          <w:sz w:val="18"/>
          <w:szCs w:val="18"/>
          <w:u w:val="single" w:color="auto"/>
          <w:color w:val="0000FF"/>
        </w:rPr>
        <w:t>https://meetnow.global/M5UFTJT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entering the 16</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digit control number included in our notice of Internet availability of the proxy materials, on your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proxy card or in the instructions that accompanied your proxy materials.</w:t>
      </w:r>
    </w:p>
    <w:p>
      <w:pPr>
        <w:spacing w:after="0" w:line="172" w:lineRule="exact"/>
        <w:rPr>
          <w:sz w:val="20"/>
          <w:szCs w:val="20"/>
          <w:color w:val="auto"/>
        </w:rPr>
      </w:pPr>
    </w:p>
    <w:p>
      <w:pPr>
        <w:ind w:right="140" w:firstLine="648"/>
        <w:spacing w:after="0" w:line="305" w:lineRule="auto"/>
        <w:rPr>
          <w:sz w:val="20"/>
          <w:szCs w:val="20"/>
          <w:color w:val="auto"/>
        </w:rPr>
      </w:pPr>
      <w:r>
        <w:rPr>
          <w:rFonts w:ascii="Times New Roman" w:cs="Times New Roman" w:eastAsia="Times New Roman" w:hAnsi="Times New Roman"/>
          <w:sz w:val="18"/>
          <w:szCs w:val="18"/>
          <w:color w:val="auto"/>
        </w:rPr>
        <w:t>If your shares are held in “street name” in the name of a bank, broker or other nominee, you will need to obtain a legal proxy from your bank, broker or other nominee. Once you have obtained the legal proxy, you must submit a copy of the legal proxy. Please be aware that obtaining a legal proxy may take several days.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What shares are included on the proxy card?</w:t>
      </w:r>
    </w:p>
    <w:p>
      <w:pPr>
        <w:spacing w:after="0" w:line="189"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If you are a stockholder of record of Common Stock as of the record date, you will receive one proxy card for all the shares of Common Stock you hold as of the record date in each single account, regardless of whether you hold them in certificate form or in book entry form. If you receive more than one proxy card, it generally means you hold shares of Common Stock registered in more than one account. Please sign and return all of the proxy cards you receive or follow the instructions below to ensure that your shares are voted.</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8. What constitutes a quorum?</w:t>
      </w:r>
    </w:p>
    <w:p>
      <w:pPr>
        <w:spacing w:after="0" w:line="202" w:lineRule="exact"/>
        <w:rPr>
          <w:sz w:val="20"/>
          <w:szCs w:val="20"/>
          <w:color w:val="auto"/>
        </w:rPr>
      </w:pPr>
    </w:p>
    <w:p>
      <w:pPr>
        <w:jc w:val="both"/>
        <w:ind w:right="140" w:firstLine="648"/>
        <w:spacing w:after="0" w:line="302" w:lineRule="auto"/>
        <w:rPr>
          <w:sz w:val="20"/>
          <w:szCs w:val="20"/>
          <w:color w:val="auto"/>
        </w:rPr>
      </w:pPr>
      <w:r>
        <w:rPr>
          <w:rFonts w:ascii="Times New Roman" w:cs="Times New Roman" w:eastAsia="Times New Roman" w:hAnsi="Times New Roman"/>
          <w:sz w:val="18"/>
          <w:szCs w:val="18"/>
          <w:color w:val="auto"/>
        </w:rPr>
        <w:t>The presence, online or represented by proxy, of stockholders entitled to cast a majority of all votes entitled to be cast at the Annual Meeting is necessary to constitute a quorum at the Annual Meeting or any postponement or adjournment thereof. However, if a quorum is not present at the Annual Meeting, the chair of the Annual Meeting may adjourn the Annual Meeting to a date not more than 120 days after the original record date without notice other than an announcement at the Annual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What different methods can I use to vote?</w:t>
      </w:r>
    </w:p>
    <w:p>
      <w:pPr>
        <w:spacing w:after="0" w:line="21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Depending on how you hold your shares, you may generally choose to authorize a proxy to vote your shares by mail, telephone or via the internet link provided in your proxy materials. The method by which you vote does not affect your right to attend the Annual Meeting.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registered directly in your name through our stock transfer agent, Computershare Trust Company, N.A., you may vote your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1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Complete, sign, date and mail the written proxy card received with this proxy statement.</w:t>
      </w:r>
    </w:p>
    <w:p>
      <w:pPr>
        <w:spacing w:after="0" w:line="198" w:lineRule="exact"/>
        <w:rPr>
          <w:rFonts w:ascii="Times New Roman" w:cs="Times New Roman" w:eastAsia="Times New Roman" w:hAnsi="Times New Roman"/>
          <w:sz w:val="18"/>
          <w:szCs w:val="18"/>
          <w:color w:val="auto"/>
        </w:rPr>
      </w:pPr>
    </w:p>
    <w:p>
      <w:pPr>
        <w:ind w:left="980" w:right="200" w:hanging="324"/>
        <w:spacing w:after="0" w:line="329"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by authorizing a proxy by telephone by calling the telephone number shown on your proxy card (1-800-652-8683).</w:t>
      </w:r>
    </w:p>
    <w:p>
      <w:pPr>
        <w:spacing w:after="0" w:line="107" w:lineRule="exact"/>
        <w:rPr>
          <w:rFonts w:ascii="Times New Roman" w:cs="Times New Roman" w:eastAsia="Times New Roman" w:hAnsi="Times New Roman"/>
          <w:sz w:val="18"/>
          <w:szCs w:val="18"/>
          <w:color w:val="auto"/>
        </w:rPr>
      </w:pPr>
    </w:p>
    <w:p>
      <w:pPr>
        <w:ind w:left="980" w:right="380" w:hanging="324"/>
        <w:spacing w:after="0" w:line="313"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Online</w:t>
      </w:r>
      <w:r>
        <w:rPr>
          <w:rFonts w:ascii="Times New Roman" w:cs="Times New Roman" w:eastAsia="Times New Roman" w:hAnsi="Times New Roman"/>
          <w:sz w:val="18"/>
          <w:szCs w:val="18"/>
          <w:color w:val="auto"/>
        </w:rPr>
        <w:t xml:space="preserve">: You are encouraged to vote online prior to the Annual Meeting via https://www.envisionreports.com/CMCT. You may also vote online at the Annual Meeting via </w:t>
      </w:r>
      <w:r>
        <w:rPr>
          <w:rFonts w:ascii="Times New Roman" w:cs="Times New Roman" w:eastAsia="Times New Roman" w:hAnsi="Times New Roman"/>
          <w:sz w:val="18"/>
          <w:szCs w:val="18"/>
          <w:u w:val="single" w:color="auto"/>
          <w:color w:val="0000FF"/>
        </w:rPr>
        <w:t>https://meetnow.global/M5UFTJT.</w:t>
      </w:r>
    </w:p>
    <w:p>
      <w:pPr>
        <w:spacing w:after="0" w:line="122" w:lineRule="exact"/>
        <w:rPr>
          <w:sz w:val="20"/>
          <w:szCs w:val="20"/>
          <w:color w:val="auto"/>
        </w:rPr>
      </w:pPr>
    </w:p>
    <w:p>
      <w:pPr>
        <w:ind w:right="180" w:firstLine="648"/>
        <w:spacing w:after="0" w:line="305" w:lineRule="auto"/>
        <w:rPr>
          <w:sz w:val="20"/>
          <w:szCs w:val="20"/>
          <w:color w:val="auto"/>
        </w:rPr>
      </w:pPr>
      <w:r>
        <w:rPr>
          <w:rFonts w:ascii="Times New Roman" w:cs="Times New Roman" w:eastAsia="Times New Roman" w:hAnsi="Times New Roman"/>
          <w:sz w:val="18"/>
          <w:szCs w:val="18"/>
          <w:color w:val="auto"/>
        </w:rPr>
        <w:t>If your shares are held in “street name” in the name of a bank, broker or other nominee, you may vote your shares by following the instructions that your bank, broker or other nominee provides to you, which may allow you to vote online or by mail or telephone. To vote in person at the Annual Meeting, follow the instructions provided in question 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What is the record date and what does it mean?</w:t>
      </w:r>
    </w:p>
    <w:p>
      <w:pPr>
        <w:spacing w:after="0" w:line="216" w:lineRule="exact"/>
        <w:rPr>
          <w:sz w:val="20"/>
          <w:szCs w:val="20"/>
          <w:color w:val="auto"/>
        </w:rPr>
      </w:pPr>
    </w:p>
    <w:p>
      <w:pPr>
        <w:ind w:right="140" w:firstLine="648"/>
        <w:spacing w:after="0" w:line="305"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June 8, 2026. The record date is established by the Board in accordance with the Maryland General Corporation Law and our bylaws. Owners of record of shares of Common Stock at the close of business on the record date are entitled to receive notice of the Annual Meeting and to vote at the Annual Meeting and any postponement or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62" w:right="439" w:bottom="1440" w:gutter="0" w:footer="0" w:header="0"/>
        </w:sectPr>
      </w:pPr>
    </w:p>
    <w:bookmarkStart w:id="8" w:name="page9"/>
    <w:bookmarkEnd w:id="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What is the deadline for voting my shares if I do not attend the Annual Meeting?</w:t>
      </w:r>
    </w:p>
    <w:p>
      <w:pPr>
        <w:spacing w:after="0" w:line="202" w:lineRule="exact"/>
        <w:rPr>
          <w:sz w:val="20"/>
          <w:szCs w:val="20"/>
          <w:color w:val="auto"/>
        </w:rPr>
      </w:pPr>
    </w:p>
    <w:p>
      <w:pPr>
        <w:ind w:right="260" w:firstLine="648"/>
        <w:spacing w:after="0" w:line="329" w:lineRule="auto"/>
        <w:rPr>
          <w:sz w:val="20"/>
          <w:szCs w:val="20"/>
          <w:color w:val="auto"/>
        </w:rPr>
      </w:pPr>
      <w:r>
        <w:rPr>
          <w:rFonts w:ascii="Times New Roman" w:cs="Times New Roman" w:eastAsia="Times New Roman" w:hAnsi="Times New Roman"/>
          <w:sz w:val="18"/>
          <w:szCs w:val="18"/>
          <w:color w:val="auto"/>
        </w:rPr>
        <w:t>If you are a common stockholder of record and do not attend the Annual Meeting, your proxy must be received at or before 11:59 p.m. Eastern Time on July 29, 2026, in order for your shares to be voted at the Annual Meeting.</w:t>
      </w:r>
    </w:p>
    <w:p>
      <w:pPr>
        <w:spacing w:after="0" w:line="94" w:lineRule="exact"/>
        <w:rPr>
          <w:sz w:val="20"/>
          <w:szCs w:val="20"/>
          <w:color w:val="auto"/>
        </w:rPr>
      </w:pPr>
    </w:p>
    <w:p>
      <w:pPr>
        <w:ind w:right="560" w:firstLine="648"/>
        <w:spacing w:after="0" w:line="329" w:lineRule="auto"/>
        <w:rPr>
          <w:sz w:val="20"/>
          <w:szCs w:val="20"/>
          <w:color w:val="auto"/>
        </w:rPr>
      </w:pPr>
      <w:r>
        <w:rPr>
          <w:rFonts w:ascii="Times New Roman" w:cs="Times New Roman" w:eastAsia="Times New Roman" w:hAnsi="Times New Roman"/>
          <w:sz w:val="18"/>
          <w:szCs w:val="18"/>
          <w:color w:val="auto"/>
        </w:rPr>
        <w:t>If you are a beneficial owner of Common Stock held in “street name,” please comply with the deadlines included in the voting instructions provided by the bank, broker or other nominee that holds your shares.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How will voting on other business be conducted?</w:t>
      </w:r>
    </w:p>
    <w:p>
      <w:pPr>
        <w:spacing w:after="0" w:line="216" w:lineRule="exact"/>
        <w:rPr>
          <w:sz w:val="20"/>
          <w:szCs w:val="20"/>
          <w:color w:val="auto"/>
        </w:rPr>
      </w:pPr>
    </w:p>
    <w:p>
      <w:pPr>
        <w:ind w:right="380" w:firstLine="648"/>
        <w:spacing w:after="0" w:line="313" w:lineRule="auto"/>
        <w:rPr>
          <w:sz w:val="20"/>
          <w:szCs w:val="20"/>
          <w:color w:val="auto"/>
        </w:rPr>
      </w:pPr>
      <w:r>
        <w:rPr>
          <w:rFonts w:ascii="Times New Roman" w:cs="Times New Roman" w:eastAsia="Times New Roman" w:hAnsi="Times New Roman"/>
          <w:sz w:val="18"/>
          <w:szCs w:val="18"/>
          <w:color w:val="auto"/>
        </w:rPr>
        <w:t>As to any other business that may properly come before the Annual Meeting, all properly submitted proxies will be voted by the proxyholder named in the proxy card, at his/her discretion. We do not presently know of any other business that may come before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What can I do if I change my mind after I return my proxy card?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Returning your proxy card will in no way limit your right to attend and vote online at the Annual Meeting. Stockholders can revoke a proxy by:</w:t>
      </w:r>
    </w:p>
    <w:p>
      <w:pPr>
        <w:spacing w:after="0" w:line="212" w:lineRule="exact"/>
        <w:rPr>
          <w:sz w:val="20"/>
          <w:szCs w:val="20"/>
          <w:color w:val="auto"/>
        </w:rPr>
      </w:pPr>
    </w:p>
    <w:p>
      <w:pPr>
        <w:ind w:left="980" w:right="460" w:hanging="324"/>
        <w:spacing w:after="0" w:line="31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revocation to the Secretary of the Company, which notice must be received by the Company prior to 11:59 p.m. Eastern Time on July 29, 2026;</w:t>
      </w:r>
    </w:p>
    <w:p>
      <w:pPr>
        <w:spacing w:after="0" w:line="80"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dated proxy in accordance with the procedure set forth in question 11; or</w:t>
      </w:r>
    </w:p>
    <w:p>
      <w:pPr>
        <w:spacing w:after="0" w:line="252" w:lineRule="exact"/>
        <w:rPr>
          <w:rFonts w:ascii="Times New Roman" w:cs="Times New Roman" w:eastAsia="Times New Roman" w:hAnsi="Times New Roman"/>
          <w:sz w:val="18"/>
          <w:szCs w:val="18"/>
          <w:color w:val="auto"/>
        </w:rPr>
      </w:pPr>
    </w:p>
    <w:p>
      <w:pPr>
        <w:ind w:left="980" w:hanging="324"/>
        <w:spacing w:after="0" w:line="31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virtual Annual Meeting and voting online as described in question 6 (attending the virtual Annual Meeting alone will not revoke your proxy).</w:t>
      </w:r>
    </w:p>
    <w:p>
      <w:pPr>
        <w:spacing w:after="0" w:line="122"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8"/>
          <w:szCs w:val="18"/>
          <w:color w:val="auto"/>
        </w:rPr>
        <w:t>If your shares are held in an account at a bank, broker or other nominee and you desire to change your vote or vote electronically at the meeting, you should contact your bank, broker or other nominee for instructions on how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On what items am I voting?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being asked to consider and vote on the following items:</w:t>
      </w:r>
    </w:p>
    <w:p>
      <w:pPr>
        <w:spacing w:after="0" w:line="212" w:lineRule="exact"/>
        <w:rPr>
          <w:sz w:val="20"/>
          <w:szCs w:val="20"/>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seven directors nominated by the Board;</w:t>
      </w:r>
    </w:p>
    <w:p>
      <w:pPr>
        <w:spacing w:after="0" w:line="198"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 non-binding advisory vote, of an advisory resolution on the Company’s executive compensation as described in this proxy statement;</w:t>
      </w:r>
    </w:p>
    <w:p>
      <w:pPr>
        <w:spacing w:after="0" w:line="94" w:lineRule="exact"/>
        <w:rPr>
          <w:rFonts w:ascii="Times New Roman" w:cs="Times New Roman" w:eastAsia="Times New Roman" w:hAnsi="Times New Roman"/>
          <w:sz w:val="18"/>
          <w:szCs w:val="18"/>
          <w:color w:val="auto"/>
        </w:rPr>
      </w:pPr>
    </w:p>
    <w:p>
      <w:pPr>
        <w:ind w:left="980" w:right="120" w:hanging="324"/>
        <w:spacing w:after="0" w:line="328" w:lineRule="auto"/>
        <w:tabs>
          <w:tab w:leader="none" w:pos="9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(“Deloitte”) as our independent registered public accounting firm for the fiscal year ending December 31, 2026;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2026 Equity Incentive Plan.</w:t>
      </w:r>
    </w:p>
    <w:p>
      <w:pPr>
        <w:spacing w:after="0" w:line="1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my voting choices when voting for director nominees?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vote on the election of the seven director nominees, common stockholders of record may:</w:t>
      </w:r>
    </w:p>
    <w:p>
      <w:pPr>
        <w:spacing w:after="0" w:line="27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all nominees;</w:t>
      </w:r>
    </w:p>
    <w:p>
      <w:pPr>
        <w:spacing w:after="0" w:line="2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their votes with respect to all nominees; or</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their votes with respect to specific nominees.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16. What vote is required to approve each proposal?</w:t>
      </w:r>
    </w:p>
    <w:p>
      <w:pPr>
        <w:spacing w:after="0" w:line="281" w:lineRule="exact"/>
        <w:rPr>
          <w:sz w:val="20"/>
          <w:szCs w:val="20"/>
          <w:color w:val="auto"/>
        </w:rPr>
      </w:pPr>
    </w:p>
    <w:p>
      <w:pPr>
        <w:ind w:right="120" w:firstLine="648"/>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Proposal No. 1—Election of Directors. </w:t>
      </w:r>
      <w:r>
        <w:rPr>
          <w:rFonts w:ascii="Times New Roman" w:cs="Times New Roman" w:eastAsia="Times New Roman" w:hAnsi="Times New Roman"/>
          <w:sz w:val="18"/>
          <w:szCs w:val="18"/>
          <w:color w:val="auto"/>
        </w:rPr>
        <w:t>To be elected as a director, our bylaws require that a nominee must receive a plurality of all the votes 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Annual Meeting at which a quorum is present. There is no cumulative voting in the election of directors.</w:t>
      </w:r>
    </w:p>
    <w:p>
      <w:pPr>
        <w:spacing w:after="0" w:line="212" w:lineRule="exact"/>
        <w:rPr>
          <w:sz w:val="20"/>
          <w:szCs w:val="20"/>
          <w:color w:val="auto"/>
        </w:rPr>
      </w:pPr>
    </w:p>
    <w:p>
      <w:pPr>
        <w:ind w:right="80" w:firstLine="648"/>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Proposal No. 2—Approval, By a Non-Binding Vote, of Executive Compensation. </w:t>
      </w:r>
      <w:r>
        <w:rPr>
          <w:rFonts w:ascii="Times New Roman" w:cs="Times New Roman" w:eastAsia="Times New Roman" w:hAnsi="Times New Roman"/>
          <w:sz w:val="18"/>
          <w:szCs w:val="18"/>
          <w:color w:val="auto"/>
        </w:rPr>
        <w:t>The affirmative vote of a majority of the votes cast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at which a quorum is present will be required to approve the executive compensation proposal. Even though your vote is advisory and therefore will not be binding on the Company, the Board will review and consider the voting results when making future decisions regarding executive compensation.</w:t>
      </w:r>
    </w:p>
    <w:p>
      <w:pPr>
        <w:spacing w:after="0" w:line="193" w:lineRule="exact"/>
        <w:rPr>
          <w:sz w:val="20"/>
          <w:szCs w:val="20"/>
          <w:color w:val="auto"/>
        </w:rPr>
      </w:pPr>
    </w:p>
    <w:p>
      <w:pPr>
        <w:ind w:right="240" w:firstLine="648"/>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Proposal No. 3—Ratification of the Appointment of Deloitte &amp; Touche LLP as our Independent Registered Public Accounting Firm.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votes cast at the Annual Meeting at which a quorum is present will be required for the approval of the ratification of the appointment of Deloitte as our independent registered public accounting firm for the fiscal year ending December 31, 2026.</w:t>
      </w:r>
    </w:p>
    <w:p>
      <w:pPr>
        <w:spacing w:after="0" w:line="207" w:lineRule="exact"/>
        <w:rPr>
          <w:sz w:val="20"/>
          <w:szCs w:val="20"/>
          <w:color w:val="auto"/>
        </w:rPr>
      </w:pPr>
    </w:p>
    <w:p>
      <w:pPr>
        <w:ind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Proposal No. 4—Approval of the 2026 Equity Incentive Plan. </w:t>
      </w:r>
      <w:r>
        <w:rPr>
          <w:rFonts w:ascii="Times New Roman" w:cs="Times New Roman" w:eastAsia="Times New Roman" w:hAnsi="Times New Roman"/>
          <w:sz w:val="18"/>
          <w:szCs w:val="18"/>
          <w:color w:val="auto"/>
        </w:rPr>
        <w:t>The affirmative vote of a majority of the votes cast at the Annual Meeting at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 is present will be required to approve the 2026 Equity Incentive Plan.</w:t>
      </w:r>
    </w:p>
    <w:p>
      <w:pPr>
        <w:spacing w:after="0" w:line="197" w:lineRule="exact"/>
        <w:rPr>
          <w:sz w:val="20"/>
          <w:szCs w:val="20"/>
          <w:color w:val="auto"/>
        </w:rPr>
      </w:pPr>
    </w:p>
    <w:p>
      <w:pPr>
        <w:ind w:left="660" w:right="7520" w:hanging="652"/>
        <w:spacing w:after="0" w:line="479" w:lineRule="auto"/>
        <w:tabs>
          <w:tab w:leader="none" w:pos="28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does the Board recommend that I vote? </w:t>
      </w:r>
      <w:r>
        <w:rPr>
          <w:rFonts w:ascii="Times New Roman" w:cs="Times New Roman" w:eastAsia="Times New Roman" w:hAnsi="Times New Roman"/>
          <w:sz w:val="18"/>
          <w:szCs w:val="18"/>
          <w:color w:val="auto"/>
        </w:rPr>
        <w:t>The Board recommends a vote:</w:t>
      </w:r>
    </w:p>
    <w:p>
      <w:pPr>
        <w:spacing w:after="0" w:line="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seven director nominees;</w:t>
      </w:r>
    </w:p>
    <w:p>
      <w:pPr>
        <w:spacing w:after="0" w:line="198" w:lineRule="exact"/>
        <w:rPr>
          <w:rFonts w:ascii="Times New Roman" w:cs="Times New Roman" w:eastAsia="Times New Roman" w:hAnsi="Times New Roman"/>
          <w:sz w:val="18"/>
          <w:szCs w:val="18"/>
          <w:color w:val="auto"/>
        </w:rPr>
      </w:pPr>
    </w:p>
    <w:p>
      <w:pPr>
        <w:ind w:left="980" w:right="520" w:hanging="324"/>
        <w:spacing w:after="0" w:line="329" w:lineRule="auto"/>
        <w:tabs>
          <w:tab w:leader="none" w:pos="9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non-binding advisory approval of an advisory resolution on the Company’s executive compensation as described in this proxy statement;</w:t>
      </w:r>
    </w:p>
    <w:p>
      <w:pPr>
        <w:spacing w:after="0" w:line="94" w:lineRule="exact"/>
        <w:rPr>
          <w:rFonts w:ascii="Times New Roman" w:cs="Times New Roman" w:eastAsia="Times New Roman" w:hAnsi="Times New Roman"/>
          <w:sz w:val="18"/>
          <w:szCs w:val="18"/>
          <w:color w:val="auto"/>
        </w:rPr>
      </w:pPr>
    </w:p>
    <w:p>
      <w:pPr>
        <w:ind w:left="980" w:right="180" w:hanging="324"/>
        <w:spacing w:after="0" w:line="328" w:lineRule="auto"/>
        <w:tabs>
          <w:tab w:leader="none" w:pos="975" w:val="left"/>
        </w:tabs>
        <w:numPr>
          <w:ilvl w:val="1"/>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FOR the ratification of the appointment of Deloitte as the independent registered public accounting firm for the Company for the fiscal year ending December 31, 2026; and</w:t>
      </w:r>
    </w:p>
    <w:p>
      <w:pPr>
        <w:spacing w:after="0" w:line="148"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2026 Equity Incentive Plan.</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specify a choice for a matter when returning a proxy?</w:t>
      </w:r>
    </w:p>
    <w:p>
      <w:pPr>
        <w:spacing w:after="0" w:line="202" w:lineRule="exact"/>
        <w:rPr>
          <w:sz w:val="20"/>
          <w:szCs w:val="20"/>
          <w:color w:val="auto"/>
        </w:rPr>
      </w:pPr>
    </w:p>
    <w:p>
      <w:pPr>
        <w:ind w:right="180" w:firstLine="648"/>
        <w:spacing w:after="0" w:line="329" w:lineRule="auto"/>
        <w:rPr>
          <w:sz w:val="20"/>
          <w:szCs w:val="20"/>
          <w:color w:val="auto"/>
        </w:rPr>
      </w:pPr>
      <w:r>
        <w:rPr>
          <w:rFonts w:ascii="Times New Roman" w:cs="Times New Roman" w:eastAsia="Times New Roman" w:hAnsi="Times New Roman"/>
          <w:sz w:val="18"/>
          <w:szCs w:val="18"/>
          <w:color w:val="auto"/>
        </w:rPr>
        <w:t>Stockholders should specify their choice for each matter on the enclosed proxy card. If no specific instructions are given, proxies that are signed and returned will be voted (or will have the same effect as):</w:t>
      </w:r>
    </w:p>
    <w:p>
      <w:pPr>
        <w:spacing w:after="0" w:line="94" w:lineRule="exact"/>
        <w:rPr>
          <w:sz w:val="20"/>
          <w:szCs w:val="20"/>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director nominees;</w:t>
      </w:r>
    </w:p>
    <w:p>
      <w:pPr>
        <w:spacing w:after="0" w:line="211" w:lineRule="exact"/>
        <w:rPr>
          <w:rFonts w:ascii="Times New Roman" w:cs="Times New Roman" w:eastAsia="Times New Roman" w:hAnsi="Times New Roman"/>
          <w:sz w:val="18"/>
          <w:szCs w:val="18"/>
          <w:color w:val="auto"/>
        </w:rPr>
      </w:pPr>
    </w:p>
    <w:p>
      <w:pPr>
        <w:ind w:left="980" w:right="520" w:hanging="324"/>
        <w:spacing w:after="0" w:line="313"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non-binding advisory approval of an advisory resolution on the Company’s executive compensation as described in this proxy statement;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the independent registered public accounting firm;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2026 Equity Incentive Plan.</w:t>
      </w:r>
    </w:p>
    <w:p>
      <w:pPr>
        <w:spacing w:after="0" w:line="130" w:lineRule="exact"/>
        <w:rPr>
          <w:rFonts w:ascii="Times New Roman" w:cs="Times New Roman" w:eastAsia="Times New Roman" w:hAnsi="Times New Roman"/>
          <w:sz w:val="18"/>
          <w:szCs w:val="18"/>
          <w:color w:val="auto"/>
        </w:rPr>
      </w:pPr>
    </w:p>
    <w:p>
      <w:pPr>
        <w:ind w:left="280" w:hanging="272"/>
        <w:spacing w:after="0" w:line="207" w:lineRule="exact"/>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broker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votes counted?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in “street name”</w:t>
      </w:r>
    </w:p>
    <w:p>
      <w:pPr>
        <w:spacing w:after="0" w:line="212" w:lineRule="exact"/>
        <w:rPr>
          <w:sz w:val="20"/>
          <w:szCs w:val="20"/>
          <w:color w:val="auto"/>
        </w:rPr>
      </w:pPr>
    </w:p>
    <w:p>
      <w:pPr>
        <w:ind w:right="20" w:firstLine="648"/>
        <w:spacing w:after="0" w:line="245" w:lineRule="exact"/>
        <w:rPr>
          <w:sz w:val="20"/>
          <w:szCs w:val="20"/>
          <w:color w:val="auto"/>
        </w:rPr>
      </w:pPr>
      <w:r>
        <w:rPr>
          <w:rFonts w:ascii="Times New Roman" w:cs="Times New Roman" w:eastAsia="Times New Roman" w:hAnsi="Times New Roman"/>
          <w:sz w:val="18"/>
          <w:szCs w:val="18"/>
          <w:color w:val="auto"/>
        </w:rPr>
        <w:t>If on the record date your shares were held in “street name” through a broker, bank or other nominee, in the absence of specific instructions from you on how to vote your shares, your broker, bank or other nominee may not be able to vote your shares on certain matters. The shares that cannot be voted by banks, brokers or other nominees if the beneficial holder fails to provide instructions are called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Broker non-votes will have the following effects at the Annual Meeting:</w:t>
      </w:r>
    </w:p>
    <w:p>
      <w:pPr>
        <w:sectPr>
          <w:pgSz w:w="11900" w:h="16838" w:orient="portrait"/>
          <w:cols w:equalWidth="0" w:num="1">
            <w:col w:w="11220"/>
          </w:cols>
          <w:pgMar w:left="320" w:top="900"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10" w:name="page11"/>
    <w:bookmarkEnd w:id="10"/>
    <w:p>
      <w:pPr>
        <w:ind w:left="980" w:right="160" w:hanging="324"/>
        <w:spacing w:after="0" w:line="254" w:lineRule="exact"/>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1—Election of Directors. </w:t>
      </w:r>
      <w:r>
        <w:rPr>
          <w:rFonts w:ascii="Times New Roman" w:cs="Times New Roman" w:eastAsia="Times New Roman" w:hAnsi="Times New Roman"/>
          <w:sz w:val="18"/>
          <w:szCs w:val="18"/>
          <w:color w:val="auto"/>
        </w:rPr>
        <w:t>Your broker, bank or other nominee is not entitled to vote your shares if no instructions are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you.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if any, will have no effect on the election of directors.</w:t>
      </w:r>
    </w:p>
    <w:p>
      <w:pPr>
        <w:spacing w:after="0" w:line="154" w:lineRule="exact"/>
        <w:rPr>
          <w:rFonts w:ascii="Times New Roman" w:cs="Times New Roman" w:eastAsia="Times New Roman" w:hAnsi="Times New Roman"/>
          <w:sz w:val="18"/>
          <w:szCs w:val="18"/>
          <w:color w:val="auto"/>
        </w:rPr>
      </w:pPr>
    </w:p>
    <w:p>
      <w:pPr>
        <w:ind w:left="980" w:right="80" w:hanging="324"/>
        <w:spacing w:after="0" w:line="306"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 Approval, By a Non-Binding Advisory Vote, of Executive Compensation</w:t>
      </w:r>
      <w:r>
        <w:rPr>
          <w:rFonts w:ascii="Times New Roman" w:cs="Times New Roman" w:eastAsia="Times New Roman" w:hAnsi="Times New Roman"/>
          <w:sz w:val="18"/>
          <w:szCs w:val="18"/>
          <w:color w:val="auto"/>
        </w:rPr>
        <w:t>. Your broker, bank or other nominee is not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your shares if no instructions are received from you. Broker non-votes, if any, will have no effect on the result of the vote on this proposal.</w:t>
      </w:r>
    </w:p>
    <w:p>
      <w:pPr>
        <w:spacing w:after="0" w:line="11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3—Ratification of the Appointment of Deloitte &amp; Touche LLP as our Independent Registered Public Accounting Firm</w:t>
      </w:r>
      <w:r>
        <w:rPr>
          <w:rFonts w:ascii="Times New Roman" w:cs="Times New Roman" w:eastAsia="Times New Roman" w:hAnsi="Times New Roman"/>
          <w:sz w:val="18"/>
          <w:szCs w:val="18"/>
          <w:color w:val="auto"/>
        </w:rPr>
        <w:t>. Your</w:t>
      </w:r>
    </w:p>
    <w:p>
      <w:pPr>
        <w:spacing w:after="0" w:line="51" w:lineRule="exact"/>
        <w:rPr>
          <w:rFonts w:ascii="Times New Roman" w:cs="Times New Roman" w:eastAsia="Times New Roman" w:hAnsi="Times New Roman"/>
          <w:sz w:val="18"/>
          <w:szCs w:val="18"/>
          <w:color w:val="auto"/>
        </w:rPr>
      </w:pPr>
    </w:p>
    <w:p>
      <w:pPr>
        <w:ind w:left="980" w:right="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bank or other nominee is entitled to vote your shares if no instructions are received from you. Broker non-votes, if any, will have no effect on the result of the vote on this proposal.</w:t>
      </w:r>
    </w:p>
    <w:p>
      <w:pPr>
        <w:spacing w:after="0" w:line="173" w:lineRule="exact"/>
        <w:rPr>
          <w:rFonts w:ascii="Times New Roman" w:cs="Times New Roman" w:eastAsia="Times New Roman" w:hAnsi="Times New Roman"/>
          <w:sz w:val="18"/>
          <w:szCs w:val="18"/>
          <w:color w:val="auto"/>
        </w:rPr>
      </w:pPr>
    </w:p>
    <w:p>
      <w:pPr>
        <w:ind w:left="980" w:right="360" w:hanging="324"/>
        <w:spacing w:after="0" w:line="268"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4—Approval of the 2026 Equity Incentive Plan</w:t>
      </w:r>
      <w:r>
        <w:rPr>
          <w:rFonts w:ascii="Times New Roman" w:cs="Times New Roman" w:eastAsia="Times New Roman" w:hAnsi="Times New Roman"/>
          <w:sz w:val="18"/>
          <w:szCs w:val="18"/>
          <w:color w:val="auto"/>
        </w:rPr>
        <w:t>. Your broker, bank or other nominee is not entitled to vote your shares if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are received from you. Broker non-votes, if any, will have no effect on the result of the vote on this proposal.</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non-votes will be counted as shares that are present and entitled to vote for the purpose of determining the presence of a quorum.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How are abstentions counted?</w:t>
      </w:r>
    </w:p>
    <w:p>
      <w:pPr>
        <w:spacing w:after="0" w:line="21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If you abstain or instruct your proxy or broker, bank or other nominee to “abstain” or vote “abstain,” it will be treated as a vote not cast (which will have no effect on the votes cast on the matters to be conducted at the Annual Meeting). However, abstentions will be counted as shares that are present and entitled to vote for the purpose of determining the presence of a quorum. Withheld votes with respect to the election of directors will have the same effect as abstentions.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Can I access the proxy statement and Annual Report on Form 10-K on the Internet?</w:t>
      </w:r>
    </w:p>
    <w:p>
      <w:pPr>
        <w:spacing w:after="0" w:line="202" w:lineRule="exact"/>
        <w:rPr>
          <w:sz w:val="20"/>
          <w:szCs w:val="20"/>
          <w:color w:val="auto"/>
        </w:rPr>
      </w:pPr>
    </w:p>
    <w:p>
      <w:pPr>
        <w:ind w:right="1220" w:firstLine="648"/>
        <w:spacing w:after="0" w:line="329" w:lineRule="auto"/>
        <w:rPr>
          <w:sz w:val="20"/>
          <w:szCs w:val="20"/>
          <w:color w:val="auto"/>
        </w:rPr>
      </w:pPr>
      <w:r>
        <w:rPr>
          <w:rFonts w:ascii="Times New Roman" w:cs="Times New Roman" w:eastAsia="Times New Roman" w:hAnsi="Times New Roman"/>
          <w:sz w:val="18"/>
          <w:szCs w:val="18"/>
          <w:color w:val="auto"/>
        </w:rPr>
        <w:t xml:space="preserve">The proxy statement and our Annual Report on Form 10-K for the year ended December 31, 2025 are available on our website at </w:t>
      </w:r>
      <w:r>
        <w:rPr>
          <w:rFonts w:ascii="Times New Roman" w:cs="Times New Roman" w:eastAsia="Times New Roman" w:hAnsi="Times New Roman"/>
          <w:sz w:val="18"/>
          <w:szCs w:val="18"/>
          <w:u w:val="single" w:color="auto"/>
          <w:color w:val="0000FF"/>
        </w:rPr>
        <w:t>https://shareholders.creativemediacommunity.com/financials/sec-filings</w:t>
      </w:r>
      <w:r>
        <w:rPr>
          <w:rFonts w:ascii="Times New Roman" w:cs="Times New Roman" w:eastAsia="Times New Roman" w:hAnsi="Times New Roman"/>
          <w:sz w:val="18"/>
          <w:szCs w:val="18"/>
          <w:color w:val="000000"/>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How are proxies solicited and what is the cost?</w:t>
      </w:r>
    </w:p>
    <w:p>
      <w:pPr>
        <w:spacing w:after="0" w:line="283"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We will bear all expenses incurred in connection with the solicitation of proxies. We have not engaged any solicitor to assist with the solicitation of proxies. In accordance with Securities and Exchange Commission (“SEC”) rules, we will reimburse brokers, fiduciaries and custodians for their costs in forwarding proxy materials to the beneficial owners of shares.</w:t>
      </w:r>
    </w:p>
    <w:p>
      <w:pPr>
        <w:spacing w:after="0" w:line="210" w:lineRule="exact"/>
        <w:rPr>
          <w:sz w:val="20"/>
          <w:szCs w:val="20"/>
          <w:color w:val="auto"/>
        </w:rPr>
      </w:pPr>
    </w:p>
    <w:p>
      <w:pPr>
        <w:ind w:right="660" w:firstLine="648"/>
        <w:spacing w:after="0" w:line="313" w:lineRule="auto"/>
        <w:rPr>
          <w:sz w:val="20"/>
          <w:szCs w:val="20"/>
          <w:color w:val="auto"/>
        </w:rPr>
      </w:pPr>
      <w:r>
        <w:rPr>
          <w:rFonts w:ascii="Times New Roman" w:cs="Times New Roman" w:eastAsia="Times New Roman" w:hAnsi="Times New Roman"/>
          <w:sz w:val="18"/>
          <w:szCs w:val="18"/>
          <w:color w:val="auto"/>
        </w:rPr>
        <w:t>In addition to soliciting proxies by mail, certain of our directors, officers or employees of affiliates of our operator may solicit proxies by telephone, personal contact, email or other means of communication. They will not receive any additional compensation for these activities.</w:t>
      </w:r>
    </w:p>
    <w:p>
      <w:pPr>
        <w:spacing w:after="0" w:line="199" w:lineRule="exact"/>
        <w:rPr>
          <w:sz w:val="20"/>
          <w:szCs w:val="20"/>
          <w:color w:val="auto"/>
        </w:rPr>
      </w:pPr>
    </w:p>
    <w:p>
      <w:pPr>
        <w:ind w:right="4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IMPORTANT: If your shares of Common Stock are held in the name of a brokerage firm, bank, nominee or other institution, you should provide instructions to your broker, bank, nominee or other institution on how to vote your shares of Common Stock. Please contact the person responsible for your account and give instructions for a proxy to be exercised for your shares of Common Stock.</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4" w:right="399" w:bottom="1440" w:gutter="0" w:footer="0" w:header="0"/>
        </w:sectPr>
      </w:pPr>
    </w:p>
    <w:bookmarkStart w:id="11" w:name="page12"/>
    <w:bookmarkEnd w:id="11"/>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SECURITY OWNERSHIP OF THE COMPANY’S BOARD OF DIRECTORS AND EXECUTIVE OFFICERS AND CURRENT BENEFICIAL OWNERS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83" w:lineRule="exact"/>
        <w:rPr>
          <w:sz w:val="20"/>
          <w:szCs w:val="20"/>
          <w:color w:val="auto"/>
        </w:rPr>
      </w:pPr>
    </w:p>
    <w:p>
      <w:pPr>
        <w:ind w:right="60" w:firstLine="648"/>
        <w:spacing w:after="0" w:line="294"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Series A Preferred Stock, $0.001 par value per share (“Series A Preferred Stock”) as of June 12, 2026 by (1) each named executive officer, (2) each current director and (3) all executive officers and directors as a group. In each case, the percent of class owned reflects the number of shares of Common Stock outstanding as of June 12, 2026. As of the date of this proxy statement, no named executive officer or director of the Company owned any Series D Preferred Stock, $0.001 par value per share (“Series D Preferred Stock”) or any Series A1 Preferred Stock, $0.001 par value per share (“Series A1 Preferred Stock” and, together with the Series A Preferred Stock and the Series D Preferred Stock, the “Preferred Stock”). To the Company’s knowledge, as of June 12, 2026, no person beneficially owned more than 5% of any class of the Company’s voting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Series A Preferred Stock</w:t>
            </w:r>
          </w:p>
        </w:tc>
        <w:tc>
          <w:tcPr>
            <w:tcW w:w="0" w:type="dxa"/>
            <w:vAlign w:val="bottom"/>
          </w:tcPr>
          <w:p>
            <w:pPr>
              <w:spacing w:after="0"/>
              <w:rPr>
                <w:sz w:val="1"/>
                <w:szCs w:val="1"/>
                <w:color w:val="auto"/>
              </w:rPr>
            </w:pPr>
          </w:p>
        </w:tc>
      </w:tr>
      <w:tr>
        <w:trPr>
          <w:trHeight w:val="158"/>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vMerge w:val="restart"/>
          </w:tcPr>
          <w:p>
            <w:pPr>
              <w:spacing w:after="0"/>
              <w:rPr>
                <w:sz w:val="13"/>
                <w:szCs w:val="13"/>
                <w:color w:val="auto"/>
              </w:rPr>
            </w:pPr>
          </w:p>
        </w:tc>
        <w:tc>
          <w:tcPr>
            <w:tcW w:w="1580" w:type="dxa"/>
            <w:vAlign w:val="bottom"/>
            <w:tcBorders>
              <w:top w:val="single" w:sz="8" w:color="auto"/>
            </w:tcBorders>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No. of Shares</w:t>
            </w:r>
          </w:p>
        </w:tc>
        <w:tc>
          <w:tcPr>
            <w:tcW w:w="100" w:type="dxa"/>
            <w:vAlign w:val="bottom"/>
            <w:tcBorders>
              <w:top w:val="single" w:sz="8" w:color="auto"/>
            </w:tcBorders>
            <w:vMerge w:val="restart"/>
          </w:tcPr>
          <w:p>
            <w:pPr>
              <w:spacing w:after="0"/>
              <w:rPr>
                <w:sz w:val="13"/>
                <w:szCs w:val="13"/>
                <w:color w:val="auto"/>
              </w:rPr>
            </w:pPr>
          </w:p>
        </w:tc>
        <w:tc>
          <w:tcPr>
            <w:tcW w:w="9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120" w:type="dxa"/>
            <w:vAlign w:val="bottom"/>
          </w:tcPr>
          <w:p>
            <w:pPr>
              <w:spacing w:after="0"/>
              <w:rPr>
                <w:sz w:val="13"/>
                <w:szCs w:val="13"/>
                <w:color w:val="auto"/>
              </w:rPr>
            </w:pPr>
          </w:p>
        </w:tc>
        <w:tc>
          <w:tcPr>
            <w:tcW w:w="10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No. of Shares</w:t>
            </w:r>
          </w:p>
        </w:tc>
        <w:tc>
          <w:tcPr>
            <w:tcW w:w="100" w:type="dxa"/>
            <w:vAlign w:val="bottom"/>
            <w:tcBorders>
              <w:top w:val="single" w:sz="8" w:color="auto"/>
            </w:tcBorders>
            <w:vMerge w:val="restart"/>
          </w:tcPr>
          <w:p>
            <w:pPr>
              <w:spacing w:after="0"/>
              <w:rPr>
                <w:sz w:val="13"/>
                <w:szCs w:val="13"/>
                <w:color w:val="auto"/>
              </w:rPr>
            </w:pPr>
          </w:p>
        </w:tc>
        <w:tc>
          <w:tcPr>
            <w:tcW w:w="9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279"/>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David Thompson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Richard Ressler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5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270,209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0" w:type="dxa"/>
            <w:vAlign w:val="bottom"/>
          </w:tcPr>
          <w:p>
            <w:pPr>
              <w:spacing w:after="0"/>
              <w:rPr>
                <w:sz w:val="1"/>
                <w:szCs w:val="1"/>
                <w:color w:val="auto"/>
              </w:rPr>
            </w:pPr>
          </w:p>
        </w:tc>
      </w:tr>
      <w:tr>
        <w:trPr>
          <w:trHeight w:val="61"/>
        </w:trPr>
        <w:tc>
          <w:tcPr>
            <w:tcW w:w="64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Avraham Shemesh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91,982</w:t>
            </w:r>
          </w:p>
        </w:tc>
        <w:tc>
          <w:tcPr>
            <w:tcW w:w="5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270,209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0" w:type="dxa"/>
            <w:vAlign w:val="bottom"/>
          </w:tcPr>
          <w:p>
            <w:pPr>
              <w:spacing w:after="0"/>
              <w:rPr>
                <w:sz w:val="1"/>
                <w:szCs w:val="1"/>
                <w:color w:val="auto"/>
              </w:rPr>
            </w:pPr>
          </w:p>
        </w:tc>
      </w:tr>
      <w:tr>
        <w:trPr>
          <w:trHeight w:val="60"/>
        </w:trPr>
        <w:tc>
          <w:tcPr>
            <w:tcW w:w="648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Shaul Kuba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91,982</w:t>
            </w:r>
          </w:p>
        </w:tc>
        <w:tc>
          <w:tcPr>
            <w:tcW w:w="5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270,209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0" w:type="dxa"/>
            <w:vAlign w:val="bottom"/>
          </w:tcPr>
          <w:p>
            <w:pPr>
              <w:spacing w:after="0"/>
              <w:rPr>
                <w:sz w:val="1"/>
                <w:szCs w:val="1"/>
                <w:color w:val="auto"/>
              </w:rPr>
            </w:pPr>
          </w:p>
        </w:tc>
      </w:tr>
      <w:tr>
        <w:trPr>
          <w:trHeight w:val="60"/>
        </w:trPr>
        <w:tc>
          <w:tcPr>
            <w:tcW w:w="64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Douglas Bech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48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Marcie Edwards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4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John Hope Bryant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48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Elaine Wong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4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Barry Berlin </w:t>
            </w:r>
            <w:r>
              <w:rPr>
                <w:rFonts w:ascii="Times New Roman" w:cs="Times New Roman" w:eastAsia="Times New Roman" w:hAnsi="Times New Roman"/>
                <w:sz w:val="23"/>
                <w:szCs w:val="23"/>
                <w:color w:val="auto"/>
                <w:vertAlign w:val="superscript"/>
              </w:rPr>
              <w:t>(4)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 as a group (9 persons)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91,994</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9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63" w:lineRule="exact"/>
        <w:rPr>
          <w:sz w:val="20"/>
          <w:szCs w:val="20"/>
          <w:color w:val="auto"/>
        </w:rPr>
      </w:pPr>
    </w:p>
    <w:p>
      <w:pPr>
        <w:ind w:left="340" w:right="40" w:hanging="332"/>
        <w:spacing w:after="0" w:line="250"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CIM Group, LLC is the indirect sole equity member of each of CIM Urban Sponsor, LLC, CIM CMCT MLP, LLC, CIM Capital Real Property Management, LLC. and CIM Capital IC Management, LLC. CIM Capital IC Management, LLC is the investment adviser of CIM Real Assets &amp; Credit Fund. Because of their positions with CIM Group, LLC, Shaul Kuba, Richard Ressler and Avraham Shemesh, the founders of CIM Group, LLC, may be deemed to beneficially own the 81,837 shares of Common Stock and 270,209 shares of Series A Preferred Stock owned directly by CIM CMCT MLP, LLC, the 19 shares of Common Stock owned directly by CIM Urban Sponsor, LLC, the 15 shares of Common Stock directly owned by CIM Real Assets &amp; Credit Fund and the 10,110 shares of Common Stock owned directly by CIM Capital Real Property Management, LLC. Messrs. Ressler, Shemesh and Kuba have shared voting and investment power over all of these shares. Each of Messrs. Ressler, Shemesh and Kuba disclaims beneficial ownership of all of these shares except to the extent of his pecuniary interest therein.</w:t>
      </w:r>
    </w:p>
    <w:p>
      <w:pPr>
        <w:spacing w:after="0" w:line="246"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Ressler has sole voting and investment power over 5 shares of Common Stock held by a subsidiary of a trust formed by Mr. Ressler for the benefit of his family members.</w:t>
      </w:r>
    </w:p>
    <w:p>
      <w:pPr>
        <w:spacing w:after="0" w:line="18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Shemesh and Kuba have shared voting and investment power over 1 share of Common Stock held by each of their respective family trusts, with respect to which they were grantors.</w:t>
      </w:r>
    </w:p>
    <w:p>
      <w:pPr>
        <w:spacing w:after="0" w:line="19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s previously disclosed, Mr. Berlin resigned from his roles with the Company effective January 21, 2026.</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presently consists of seven directors.</w:t>
      </w:r>
    </w:p>
    <w:p>
      <w:pPr>
        <w:spacing w:after="0" w:line="279" w:lineRule="exact"/>
        <w:rPr>
          <w:sz w:val="20"/>
          <w:szCs w:val="20"/>
          <w:color w:val="auto"/>
        </w:rPr>
      </w:pPr>
    </w:p>
    <w:p>
      <w:pPr>
        <w:ind w:right="80" w:firstLine="648"/>
        <w:spacing w:after="0" w:line="294" w:lineRule="auto"/>
        <w:rPr>
          <w:sz w:val="20"/>
          <w:szCs w:val="20"/>
          <w:color w:val="auto"/>
        </w:rPr>
      </w:pPr>
      <w:r>
        <w:rPr>
          <w:rFonts w:ascii="Times New Roman" w:cs="Times New Roman" w:eastAsia="Times New Roman" w:hAnsi="Times New Roman"/>
          <w:sz w:val="18"/>
          <w:szCs w:val="18"/>
          <w:color w:val="auto"/>
        </w:rPr>
        <w:t>At the Annual Meeting, you will be asked to consider and vote upon the election of seven directors. The seven current directors will be up for election at the Annual Meeting. For your review and consideration, a biography of each nominee for director is contained in this proxy statement under the section titled “Corporate Governance, Director Nominees.” The term of office of each person elected to be a director of the Company at the Annual Meeting will be until the Company’s annual meeting of the stockholders in 2027 and until such person’s successor is duly elected and qualifies. If any unforeseen event prevents one or more of the nominees from serving as a director, your votes will be cast for the election of any substitute or substitutes nominated by the Board. In no event, however, can the proxies be voted for a greater number of persons than the number of nominees named. Unless otherwise instructed, the proxies will vote for the election of the nominees listed below to serve as directors of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83" w:lineRule="exact"/>
        <w:rPr>
          <w:sz w:val="20"/>
          <w:szCs w:val="20"/>
          <w:color w:val="auto"/>
        </w:rPr>
      </w:pPr>
    </w:p>
    <w:p>
      <w:pPr>
        <w:ind w:right="180" w:firstLine="648"/>
        <w:spacing w:after="0" w:line="329" w:lineRule="auto"/>
        <w:rPr>
          <w:sz w:val="20"/>
          <w:szCs w:val="20"/>
          <w:color w:val="auto"/>
        </w:rPr>
      </w:pPr>
      <w:r>
        <w:rPr>
          <w:rFonts w:ascii="Times New Roman" w:cs="Times New Roman" w:eastAsia="Times New Roman" w:hAnsi="Times New Roman"/>
          <w:sz w:val="18"/>
          <w:szCs w:val="18"/>
          <w:color w:val="auto"/>
        </w:rPr>
        <w:t>Directors are elected by a plurality of all the votes cast at the Annual Meeting at which a quorum is present. There is no cumulative voting in the election of directors.</w:t>
      </w:r>
    </w:p>
    <w:p>
      <w:pPr>
        <w:spacing w:after="0" w:line="175"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For purposes of the vote on this Proposal 1, abstentions and broker non-votes will be considered present for the purpose of determining the presence of a quorum. However, if you do not instruct your broker how to vote on this proposal and your broker does not vote those shares, your shares will be treated as broker non-votes. Abstentions, broker non-votes and other shares not voted will have no effect on this Proposal 1. Stockholders may vote “FOR” or “WITHHOLD” with respect to each nominee.</w:t>
      </w:r>
    </w:p>
    <w:p>
      <w:pPr>
        <w:spacing w:after="0" w:line="214"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We expect this Proposal 1 will not be considered a routine matter under applicable stock exchange rules. Accordingly, without specific instructions from you, your bank, broker or other nominee will not have discretionary authority to vote your shares on this Proposal 1. Accordingly, we urge you to direct your bank, broker or other nominee how to vote by returning your voting materials as instructed or by obtaining a proxy from your broker or other nominee in order to vote your shares in person at the Annual Meeting. Broker non-votes will have no effect on this Proposal 1.</w:t>
      </w: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directors nominated.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47" w:lineRule="exact"/>
        <w:rPr>
          <w:sz w:val="20"/>
          <w:szCs w:val="20"/>
          <w:color w:val="auto"/>
        </w:rPr>
      </w:pPr>
    </w:p>
    <w:p>
      <w:pPr>
        <w:jc w:val="both"/>
        <w:ind w:right="300" w:firstLine="648"/>
        <w:spacing w:after="0" w:line="297"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“Exchange Act”), we are seeking advisory stockholder approval of the compensation of our named executive officers as further described below under “Executive Compensation.” The stockholder vote is an advisory vote only and is not binding on the Company or the Board. Although the vote is non-binding, the Board values the opinion of our stockholders and will consider the outcome of the vote when making future compensation decisions for our named executive officers. Unless the Board modifies its policy on the frequency of future advisory votes on executive compensation, the next such vote will occur at the 2027 annual meeting of stockholders.</w:t>
      </w:r>
    </w:p>
    <w:p>
      <w:pPr>
        <w:spacing w:after="0" w:line="204"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18"/>
          <w:szCs w:val="18"/>
          <w:color w:val="auto"/>
        </w:rPr>
        <w:t>As described in detail in the “Compensation Discussion and Analysis” section below, the Company is externally operated by the Operator (as defined in “Related Person Transactions—Transactions with Related Persons—Asset Management and Other Fees to Related Parties”), an affiliate of CIM Group, L.P., pursuant to an Investment Management Agreement (the “Investment Management Agreement”) between the Operator and CIM Urban Partners L.P. (“CIM Urban”), a principal subsidiary of the Company. In addition, CIM Service Provider, LLC (the “Administrator”), a subsidiary of CIM Group, LLC, provides certain administrative services to the Company and its subsidiaries pursuant to a Master Services Agreement (the “Master Services Agreement”). David Thompson, the Company’s Chief Executive Officer, is employed by an affiliate of the Operator and the Administrator and his compensation is determined by, and paid to him directly by, such affiliate. The Company did not pay Mr. Thompson any compensation in 2025 and 2024. Therefore, his compensation is not discussed in the “Compensation Discussion and Analysis” section below.</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asking stockholders to vote on the following advisory resolution:</w:t>
      </w:r>
    </w:p>
    <w:p>
      <w:pPr>
        <w:spacing w:after="0" w:line="279" w:lineRule="exact"/>
        <w:rPr>
          <w:sz w:val="20"/>
          <w:szCs w:val="20"/>
          <w:color w:val="auto"/>
        </w:rPr>
      </w:pPr>
    </w:p>
    <w:p>
      <w:pPr>
        <w:jc w:val="both"/>
        <w:ind w:right="480" w:firstLine="648"/>
        <w:spacing w:after="0" w:line="305"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of Barry N. Berlin, the Company’s only named executive officer being compensated by the Company, as disclosed pursuant to the SEC’s compensation disclosure rules, including the Compensation Discussion and Analysis, compensation tables and narrative discussion contained in the proxy statement.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at which a quorum is present is required to approve the proposal.</w:t>
      </w:r>
    </w:p>
    <w:p>
      <w:pPr>
        <w:spacing w:after="0" w:line="29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For purposes of the vote on this Proposal 2, abstentions and broker non-votes will be considered present for the purpose of determining the presence of a quorum. However, if you do not instruct your broker how to vote on this proposal and your broker does not vote those shares, your shares will be treated as broker non-votes. Abstentions, broker non-votes and other shares not voted will have no effect on this Proposal 2. Stockholders may vote “FOR,” “AGAINST,” or “ABSTAIN” with respect to this Proposal 2.</w:t>
      </w:r>
    </w:p>
    <w:p>
      <w:pPr>
        <w:spacing w:after="0" w:line="217"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We expect this Proposal 2 will not be considered a routine matter under applicable stock exchange rules. Accordingly, without specific instructions from you, your bank, broker or other nominee will not have discretionary authority to vote your shares on this Proposal 2. Accordingly, we urge you to direct your bank, broker or other nominee how to vote by returning your voting materials as instructed or by obtaining a proxy from your broker or other nominee in order to vote your shares in person at the Annual Meeting. Broker non-votes will have no effect on this Proposal 2.</w:t>
      </w:r>
    </w:p>
    <w:p>
      <w:pPr>
        <w:spacing w:after="0" w:line="213" w:lineRule="exact"/>
        <w:rPr>
          <w:sz w:val="20"/>
          <w:szCs w:val="20"/>
          <w:color w:val="auto"/>
        </w:rPr>
      </w:pPr>
    </w:p>
    <w:p>
      <w:pPr>
        <w:ind w:right="38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advisory resolution on the Company’s executive compensation for the year ended December 31, 2025, as disclosed in this proxy statement.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DELOITTE &amp; TOUCHE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INDEPENDENT REGISTERED PUBLIC ACCOUNTING FIRM</w:t>
      </w:r>
    </w:p>
    <w:p>
      <w:pPr>
        <w:spacing w:after="0" w:line="166" w:lineRule="exact"/>
        <w:rPr>
          <w:sz w:val="20"/>
          <w:szCs w:val="20"/>
          <w:color w:val="auto"/>
        </w:rPr>
      </w:pPr>
    </w:p>
    <w:p>
      <w:pPr>
        <w:ind w:right="20" w:firstLine="648"/>
        <w:spacing w:after="0" w:line="293" w:lineRule="auto"/>
        <w:rPr>
          <w:sz w:val="20"/>
          <w:szCs w:val="20"/>
          <w:color w:val="auto"/>
        </w:rPr>
      </w:pPr>
      <w:r>
        <w:rPr>
          <w:rFonts w:ascii="Times New Roman" w:cs="Times New Roman" w:eastAsia="Times New Roman" w:hAnsi="Times New Roman"/>
          <w:sz w:val="18"/>
          <w:szCs w:val="18"/>
          <w:color w:val="auto"/>
        </w:rPr>
        <w:t>The Audit Committee, comprised of independent members of the Board (the “Audit Committee”), has appointed Deloitte as our independent registered public accounting firm with respect to our operations for the fiscal year ending December 31, 2026. Representatives of Deloitte are expected to be present at the Annual Meeting and will have the opportunity to make a statement if they desire to do so and will answer appropriate questions. Stockholder ratification of the appointment of Deloitte as our independent registered public accounting firm is not required by our bylaws or otherwise. However, the Board is submitting the appointment of Deloitte to the common stockholders for ratification as a matter of good corporate governance. If the common stockholders fail to ratify the appointment, the Audit Committee may reconsider whether to retain Deloitte. Even if the appointment is ratified, the Audit Committee may in its discretion select a different independent registered public accounting firm at any time during the year if it determines that such a change would be in the best interests of the Company.</w:t>
      </w:r>
    </w:p>
    <w:p>
      <w:pPr>
        <w:spacing w:after="0" w:line="219" w:lineRule="exact"/>
        <w:rPr>
          <w:sz w:val="20"/>
          <w:szCs w:val="20"/>
          <w:color w:val="auto"/>
        </w:rPr>
      </w:pPr>
    </w:p>
    <w:p>
      <w:pPr>
        <w:ind w:right="160" w:firstLine="648"/>
        <w:spacing w:after="0" w:line="297" w:lineRule="auto"/>
        <w:rPr>
          <w:sz w:val="20"/>
          <w:szCs w:val="20"/>
          <w:color w:val="auto"/>
        </w:rPr>
      </w:pPr>
      <w:r>
        <w:rPr>
          <w:rFonts w:ascii="Times New Roman" w:cs="Times New Roman" w:eastAsia="Times New Roman" w:hAnsi="Times New Roman"/>
          <w:sz w:val="18"/>
          <w:szCs w:val="18"/>
          <w:color w:val="auto"/>
        </w:rPr>
        <w:t>We are asking that you ratify the appointment of Deloitte, although your ratification is not required. If stockholders do not ratify the appointment of Deloitte, the Audit Committee will reconsider its selection but is not required to change its selection. Even if the appointment is ratified, the Audit Committee, in its discretion, may change the appointment at any time during the year if it determines that a change would be in the best interests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16"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at which a quorum is present is required to approve the ratification of the appointment of Deloitte as our independent registered public accounting firm.</w:t>
      </w:r>
    </w:p>
    <w:p>
      <w:pPr>
        <w:spacing w:after="0" w:line="20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For purposes of the vote on this Proposal 3, abstentions and broker non-votes will be considered present for the purpose of determining the presence of a quorum. However, if you do not instruct your broker how to vote on this proposal and your broker does not vote those shares, your shares will be treated as broker non-votes. Abstentions, broker non-votes and other shares not voted will have no effect on this Proposal 3. Stockholders may vote “FOR,” “AGAINST,” or “ABSTAIN” with respect to this Proposal 3.</w:t>
      </w:r>
    </w:p>
    <w:p>
      <w:pPr>
        <w:spacing w:after="0" w:line="217" w:lineRule="exact"/>
        <w:rPr>
          <w:sz w:val="20"/>
          <w:szCs w:val="20"/>
          <w:color w:val="auto"/>
        </w:rPr>
      </w:pPr>
    </w:p>
    <w:p>
      <w:pPr>
        <w:ind w:right="20" w:firstLine="648"/>
        <w:spacing w:after="0" w:line="294" w:lineRule="auto"/>
        <w:rPr>
          <w:sz w:val="20"/>
          <w:szCs w:val="20"/>
          <w:color w:val="auto"/>
        </w:rPr>
      </w:pPr>
      <w:r>
        <w:rPr>
          <w:rFonts w:ascii="Times New Roman" w:cs="Times New Roman" w:eastAsia="Times New Roman" w:hAnsi="Times New Roman"/>
          <w:sz w:val="18"/>
          <w:szCs w:val="18"/>
          <w:color w:val="auto"/>
        </w:rPr>
        <w:t>We expect this Proposal 3 will be considered a routine matter under applicable stock exchange rules. Accordingly, without specific instructions from you, your bank, broker or other nominee will have discretionary authority to vote your shares on this Proposal 3. However, we understand that certain brokerage firms have elected not to vote even on “routine” matters without your voting instructions. If your bank, broker or other nominee has made this decision, and you do not provide voting instructions, your vote will not be cast. Accordingly, we urge you to direct your bank, broker or other nominee how to vote by returning your voting materials as instructed or by obtaining a proxy from your broker or other nominee in order to vote your shares in person at the Annual Meeting. Broker non-votes will have no effect on this Proposal 3.</w:t>
      </w:r>
    </w:p>
    <w:p>
      <w:pPr>
        <w:spacing w:after="0" w:line="135" w:lineRule="exact"/>
        <w:rPr>
          <w:sz w:val="20"/>
          <w:szCs w:val="20"/>
          <w:color w:val="auto"/>
        </w:rPr>
      </w:pPr>
    </w:p>
    <w:p>
      <w:pPr>
        <w:ind w:right="36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Deloitte as our independent registered public accounting firm for the fiscal year ending December 31, 2026.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2026 EQUITY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w:t>
      </w:r>
    </w:p>
    <w:p>
      <w:pPr>
        <w:spacing w:after="0" w:line="202" w:lineRule="exact"/>
        <w:rPr>
          <w:sz w:val="20"/>
          <w:szCs w:val="20"/>
          <w:color w:val="auto"/>
        </w:rPr>
      </w:pPr>
    </w:p>
    <w:p>
      <w:pPr>
        <w:jc w:val="both"/>
        <w:ind w:right="120" w:firstLine="648"/>
        <w:spacing w:after="0" w:line="309" w:lineRule="auto"/>
        <w:rPr>
          <w:sz w:val="20"/>
          <w:szCs w:val="20"/>
          <w:color w:val="auto"/>
        </w:rPr>
      </w:pPr>
      <w:r>
        <w:rPr>
          <w:rFonts w:ascii="Times New Roman" w:cs="Times New Roman" w:eastAsia="Times New Roman" w:hAnsi="Times New Roman"/>
          <w:sz w:val="17"/>
          <w:szCs w:val="17"/>
          <w:color w:val="auto"/>
        </w:rPr>
        <w:t>The Board has adopted the 2026 Equity Incentive Plan (the “Equity Incentive Plan”) on June 22, 2026 and is submitting it to our stockholders for their approval. As of the date of this proxy statement, the Company’s 2015 Equity Incentive Plan has terminated in accordance with its terms. Approval of the Equity Incentive Plan will therefore enable the Company to make equity-based grants to its independent directors (the “Non-Employee Directors”).</w:t>
      </w:r>
    </w:p>
    <w:p>
      <w:pPr>
        <w:spacing w:after="0" w:line="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Board believes that without the renewed ability to make grants of equity-based awards pursuant to the Equity Incentive Plan, the Company would be at a competitive disadvantage in the recruitment and retention of Non-Employee Directors.</w:t>
      </w:r>
    </w:p>
    <w:p>
      <w:pPr>
        <w:spacing w:after="0" w:line="122" w:lineRule="exact"/>
        <w:rPr>
          <w:sz w:val="20"/>
          <w:szCs w:val="20"/>
          <w:color w:val="auto"/>
        </w:rPr>
      </w:pPr>
    </w:p>
    <w:p>
      <w:pPr>
        <w:jc w:val="both"/>
        <w:ind w:right="360" w:firstLine="648"/>
        <w:spacing w:after="0" w:line="305" w:lineRule="auto"/>
        <w:rPr>
          <w:sz w:val="20"/>
          <w:szCs w:val="20"/>
          <w:color w:val="auto"/>
        </w:rPr>
      </w:pPr>
      <w:r>
        <w:rPr>
          <w:rFonts w:ascii="Times New Roman" w:cs="Times New Roman" w:eastAsia="Times New Roman" w:hAnsi="Times New Roman"/>
          <w:sz w:val="18"/>
          <w:szCs w:val="18"/>
          <w:color w:val="auto"/>
        </w:rPr>
        <w:t>The following summary of the material terms of the Equity Incentive Plan is qualified in its entirety by reference to the 2026 Equity Incentive Plan, which is attached as Exhibit “A” to this proxy statement. Capitalized terms used in this summary but not defined in this proxy statement have the meanings set forth in the Equity Incentive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right="460" w:firstLine="648"/>
        <w:spacing w:after="0" w:line="305" w:lineRule="auto"/>
        <w:rPr>
          <w:sz w:val="20"/>
          <w:szCs w:val="20"/>
          <w:color w:val="auto"/>
        </w:rPr>
      </w:pPr>
      <w:r>
        <w:rPr>
          <w:rFonts w:ascii="Times New Roman" w:cs="Times New Roman" w:eastAsia="Times New Roman" w:hAnsi="Times New Roman"/>
          <w:sz w:val="18"/>
          <w:szCs w:val="18"/>
          <w:color w:val="auto"/>
        </w:rPr>
        <w:t>The purpose of the Equity Incentive Plan is to help the Company and any of its subsidiaries: (1) align the interests of award grantees (each, a “Grantee”) with the Company’s stockholders; and (2) promote ownership of the Company’s equity. The Equity Incentive Plan permits the granting of restricted shares or restricted stock units to its Non-Employee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2" w:lineRule="exact"/>
        <w:rPr>
          <w:sz w:val="20"/>
          <w:szCs w:val="20"/>
          <w:color w:val="auto"/>
        </w:rPr>
      </w:pPr>
    </w:p>
    <w:p>
      <w:pPr>
        <w:ind w:right="120" w:firstLine="648"/>
        <w:spacing w:after="0" w:line="294" w:lineRule="auto"/>
        <w:rPr>
          <w:sz w:val="20"/>
          <w:szCs w:val="20"/>
          <w:color w:val="auto"/>
        </w:rPr>
      </w:pPr>
      <w:r>
        <w:rPr>
          <w:rFonts w:ascii="Times New Roman" w:cs="Times New Roman" w:eastAsia="Times New Roman" w:hAnsi="Times New Roman"/>
          <w:sz w:val="18"/>
          <w:szCs w:val="18"/>
          <w:color w:val="auto"/>
        </w:rPr>
        <w:t>The Board or any committee or sub-committee of the Board as designated by the Board from time to time (collectively, the “Committee”) administers the Equity Incentive Plan. In particular, the Committee will have the authority in its sole discretion to: exercise all of the powers granted to it under the Equity Incentive Plan; construe, interpret and implement the Equity Incentive Plan and all written documents by which an award pursuant to the Equity Incentive Plan (an “Award”) is evidenced (an “Award Agreement”); prescribe, amend and rescind rules and regulations relating to the Equity Incentive Plan, including rules governing the Committee’s own operations; make all determinations necessary or advisable in administering the Equity Incentive Plan; amend the Equity Incentive Plan to reflect changes in applicable law; and grant, or recommend to the Board for approval to grant, Awards and determine who will receive Awards, when such Awards will be granted and the terms of such Awards.</w:t>
      </w:r>
    </w:p>
    <w:p>
      <w:pPr>
        <w:spacing w:after="0" w:line="14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Equity Incentive Plan or any Award Agreement will be final, binding and conclusive.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ind w:right="280" w:firstLine="648"/>
        <w:spacing w:after="0" w:line="329" w:lineRule="auto"/>
        <w:rPr>
          <w:sz w:val="20"/>
          <w:szCs w:val="20"/>
          <w:color w:val="auto"/>
        </w:rPr>
      </w:pPr>
      <w:r>
        <w:rPr>
          <w:rFonts w:ascii="Times New Roman" w:cs="Times New Roman" w:eastAsia="Times New Roman" w:hAnsi="Times New Roman"/>
          <w:sz w:val="18"/>
          <w:szCs w:val="18"/>
          <w:color w:val="auto"/>
        </w:rPr>
        <w:t>Awards under the Equity Incentive Plan may be made to any Non-Employee Director of the Company. As of June 8, 2026, all four of our Non-Employee Directors are eligible to participate in the Equity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Shares and Adjustments</w:t>
      </w:r>
    </w:p>
    <w:p>
      <w:pPr>
        <w:spacing w:after="0" w:line="202" w:lineRule="exact"/>
        <w:rPr>
          <w:sz w:val="20"/>
          <w:szCs w:val="20"/>
          <w:color w:val="auto"/>
        </w:rPr>
      </w:pPr>
    </w:p>
    <w:p>
      <w:pPr>
        <w:jc w:val="both"/>
        <w:ind w:right="180" w:firstLine="648"/>
        <w:spacing w:after="0" w:line="329" w:lineRule="auto"/>
        <w:rPr>
          <w:sz w:val="20"/>
          <w:szCs w:val="20"/>
          <w:color w:val="auto"/>
        </w:rPr>
      </w:pPr>
      <w:r>
        <w:rPr>
          <w:rFonts w:ascii="Times New Roman" w:cs="Times New Roman" w:eastAsia="Times New Roman" w:hAnsi="Times New Roman"/>
          <w:sz w:val="18"/>
          <w:szCs w:val="18"/>
          <w:color w:val="auto"/>
        </w:rPr>
        <w:t>Subject to adjustment as described below, the total number of shares of Common Stock that may be granted under the Equity Incentive Plan will be 250,000.</w:t>
      </w:r>
    </w:p>
    <w:p>
      <w:pPr>
        <w:spacing w:after="0" w:line="94" w:lineRule="exact"/>
        <w:rPr>
          <w:sz w:val="20"/>
          <w:szCs w:val="20"/>
          <w:color w:val="auto"/>
        </w:rPr>
      </w:pPr>
    </w:p>
    <w:p>
      <w:pPr>
        <w:jc w:val="both"/>
        <w:ind w:right="160" w:firstLine="648"/>
        <w:spacing w:after="0" w:line="297" w:lineRule="auto"/>
        <w:rPr>
          <w:sz w:val="20"/>
          <w:szCs w:val="20"/>
          <w:color w:val="auto"/>
        </w:rPr>
      </w:pPr>
      <w:r>
        <w:rPr>
          <w:rFonts w:ascii="Times New Roman" w:cs="Times New Roman" w:eastAsia="Times New Roman" w:hAnsi="Times New Roman"/>
          <w:sz w:val="18"/>
          <w:szCs w:val="18"/>
          <w:color w:val="auto"/>
        </w:rPr>
        <w:t>The Committee will (a) adjust the number of authorized shares of restricted stock and (b) adjust the terms of any outstanding Awards (including, without limitation, the number of shares of restricted stock covered by each outstanding Award and the type of property or securities to which the Award relates), in each case, in such manner as it deems appropriate (including, without limitation, by payment of cash) to prevent the enlargement or dilution of rights, as a result of any increase or decrease in the number of issued shares of restricted stock (or issuance of shares of stock other than Common Stock) resulting from a recapitalization, stock split, reverse stock split, stock dividend, spinoff, split up, combination, reclassification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ind w:right="620"/>
        <w:spacing w:after="0" w:line="313" w:lineRule="auto"/>
        <w:rPr>
          <w:sz w:val="20"/>
          <w:szCs w:val="20"/>
          <w:color w:val="auto"/>
        </w:rPr>
      </w:pPr>
      <w:r>
        <w:rPr>
          <w:rFonts w:ascii="Times New Roman" w:cs="Times New Roman" w:eastAsia="Times New Roman" w:hAnsi="Times New Roman"/>
          <w:sz w:val="18"/>
          <w:szCs w:val="18"/>
          <w:color w:val="auto"/>
        </w:rPr>
        <w:t>or exchange of shares of Common Stock, merger, consolidation, rights offering, separation, reorganization or liquidation or any other change in the corporate structure or shares, including any extraordinary dividend or extraordinary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Equity Incentive Plan</w:t>
      </w:r>
    </w:p>
    <w:p>
      <w:pPr>
        <w:spacing w:after="0" w:line="202" w:lineRule="exact"/>
        <w:rPr>
          <w:sz w:val="20"/>
          <w:szCs w:val="20"/>
          <w:color w:val="auto"/>
        </w:rPr>
      </w:pPr>
    </w:p>
    <w:p>
      <w:pPr>
        <w:ind w:right="160" w:firstLine="648"/>
        <w:spacing w:after="0" w:line="329" w:lineRule="auto"/>
        <w:rPr>
          <w:sz w:val="20"/>
          <w:szCs w:val="20"/>
          <w:color w:val="auto"/>
        </w:rPr>
      </w:pPr>
      <w:r>
        <w:rPr>
          <w:rFonts w:ascii="Times New Roman" w:cs="Times New Roman" w:eastAsia="Times New Roman" w:hAnsi="Times New Roman"/>
          <w:sz w:val="18"/>
          <w:szCs w:val="18"/>
          <w:color w:val="auto"/>
        </w:rPr>
        <w:t>Awards may be made under the Equity Incentive Plan in the form of restricted shares or restricted stock units, which may, in either case, provide for dividend equivalent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16"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18"/>
          <w:szCs w:val="18"/>
          <w:color w:val="auto"/>
        </w:rPr>
        <w:t>The Committee may grant Awards of restricted shares in such amounts and subject to such terms and conditions as the Committee may determine. Upon delivery of restricted shares, the Grantee will have the rights of a stockholder with respect to such restricted shares, subject to any other restrictions and conditions as the Committee may include in the applicable Award Agreement.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or other distributions paid upon any restricted share will be retained by the Company for the account of the relevant Grantee. Such dividends or other distributions will revert back to the Company if for any reason the restricted share upon which such dividends or other distributions were paid reverts back to the Company. Upon the expiration of the period of restriction, all such dividends or other distributions made on such restricted shares and retained by the Company will be paid to the relevant Grantee (without interest).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0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Committee may grant Awards of restricted stock units in such amounts and subject to such terms and conditions as the Committee may determine. A Grantee of a restricted stock unit will have only the rights of a general unsecured creditor of the Company, until delivery of shares, cash or other securities or property is made as specified in the applicable Award Agreement. On the delivery date specified in the Award Agreement, the Grantee of each restricted stock unit not previously forfeited or terminated will receive one share of Common Stock, cash or other securities or property equal in value to a share of Common Stock or a combination thereof, as specified by the Committee.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Equivalent Rights</w:t>
      </w:r>
    </w:p>
    <w:p>
      <w:pPr>
        <w:spacing w:after="0" w:line="202" w:lineRule="exact"/>
        <w:rPr>
          <w:sz w:val="20"/>
          <w:szCs w:val="20"/>
          <w:color w:val="auto"/>
        </w:rPr>
      </w:pPr>
    </w:p>
    <w:p>
      <w:pPr>
        <w:ind w:right="40" w:firstLine="648"/>
        <w:spacing w:after="0" w:line="317" w:lineRule="auto"/>
        <w:rPr>
          <w:sz w:val="20"/>
          <w:szCs w:val="20"/>
          <w:color w:val="auto"/>
        </w:rPr>
      </w:pPr>
      <w:r>
        <w:rPr>
          <w:rFonts w:ascii="Times New Roman" w:cs="Times New Roman" w:eastAsia="Times New Roman" w:hAnsi="Times New Roman"/>
          <w:sz w:val="17"/>
          <w:szCs w:val="17"/>
          <w:color w:val="auto"/>
        </w:rPr>
        <w:t>The Committee may include in the Award Agreement with respect to any Award a dividend equivalent right entitling the Grantee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vesting of the Award to which they relate, the time or times at which they will be made, and such other terms and conditions as the Committee will deem appropriate.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2" w:lineRule="exact"/>
        <w:rPr>
          <w:sz w:val="20"/>
          <w:szCs w:val="20"/>
          <w:color w:val="auto"/>
        </w:rPr>
      </w:pPr>
    </w:p>
    <w:p>
      <w:pPr>
        <w:ind w:right="40" w:firstLine="648"/>
        <w:spacing w:after="0" w:line="302" w:lineRule="auto"/>
        <w:rPr>
          <w:sz w:val="20"/>
          <w:szCs w:val="20"/>
          <w:color w:val="auto"/>
        </w:rPr>
      </w:pPr>
      <w:r>
        <w:rPr>
          <w:rFonts w:ascii="Times New Roman" w:cs="Times New Roman" w:eastAsia="Times New Roman" w:hAnsi="Times New Roman"/>
          <w:sz w:val="18"/>
          <w:szCs w:val="18"/>
          <w:color w:val="auto"/>
        </w:rPr>
        <w:t>Unless otherwise provided in the Equity Incentive Plan or in an Award Agreement, the Board may at any time and from time to time suspend, discontinue, revise or amend the Equity Incentive Plan in any respect whatsoever but, subject to the administration and adjustment provisions of the Equity Incentive Plan (summarized above), no such amendment may materially adversely impair the rights of the Grantee of any Award without the Grantee’s consent and no Award Agreement may be amended to materially adversely impair the rights of a Grantee without the Grantee’s consent.</w:t>
      </w:r>
    </w:p>
    <w:p>
      <w:pPr>
        <w:spacing w:after="0" w:line="119" w:lineRule="exact"/>
        <w:rPr>
          <w:sz w:val="20"/>
          <w:szCs w:val="20"/>
          <w:color w:val="auto"/>
        </w:rPr>
      </w:pPr>
    </w:p>
    <w:p>
      <w:pPr>
        <w:ind w:right="80" w:firstLine="648"/>
        <w:spacing w:after="0" w:line="329" w:lineRule="auto"/>
        <w:rPr>
          <w:sz w:val="20"/>
          <w:szCs w:val="20"/>
          <w:color w:val="auto"/>
        </w:rPr>
      </w:pPr>
      <w:r>
        <w:rPr>
          <w:rFonts w:ascii="Times New Roman" w:cs="Times New Roman" w:eastAsia="Times New Roman" w:hAnsi="Times New Roman"/>
          <w:sz w:val="18"/>
          <w:szCs w:val="18"/>
          <w:color w:val="auto"/>
        </w:rPr>
        <w:t>Unless otherwise determined by the Board, stockholder approval of any suspension, discontinuance, revision or amendment will be obtained only to the extent necessary to comply with any applicable laws, regulations or rules of a securities exchange or self-regulatory agency.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02" w:lineRule="exact"/>
        <w:rPr>
          <w:sz w:val="20"/>
          <w:szCs w:val="20"/>
          <w:color w:val="auto"/>
        </w:rPr>
      </w:pPr>
    </w:p>
    <w:p>
      <w:pPr>
        <w:ind w:right="180" w:firstLine="648"/>
        <w:spacing w:after="0" w:line="297" w:lineRule="auto"/>
        <w:rPr>
          <w:sz w:val="20"/>
          <w:szCs w:val="20"/>
          <w:color w:val="auto"/>
        </w:rPr>
      </w:pPr>
      <w:r>
        <w:rPr>
          <w:rFonts w:ascii="Times New Roman" w:cs="Times New Roman" w:eastAsia="Times New Roman" w:hAnsi="Times New Roman"/>
          <w:sz w:val="18"/>
          <w:szCs w:val="18"/>
          <w:color w:val="auto"/>
        </w:rPr>
        <w:t>The amounts that will be awarded under the Equity Incentive Plan cannot currently be determined because the Awards will be made at the Committee’s discretion, subject to the terms of the Equity Incentive Plan. Simply to illustrate potential future use of the Equity Incentive Plan, the grant date fair value (determined in accordance with ASC Topic 718) and number of shares of Common Stock subject to Awards that were received by the four Non-Employee Directors who received compensation in respect of director service in the 2025 fiscal year were $218,268 and 344 respectively, in the aggregate.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Tax Implications of Awards</w:t>
      </w:r>
    </w:p>
    <w:p>
      <w:pPr>
        <w:spacing w:after="0" w:line="202" w:lineRule="exact"/>
        <w:rPr>
          <w:sz w:val="20"/>
          <w:szCs w:val="20"/>
          <w:color w:val="auto"/>
        </w:rPr>
      </w:pPr>
    </w:p>
    <w:p>
      <w:pPr>
        <w:ind w:right="20" w:firstLine="648"/>
        <w:spacing w:after="0" w:line="302" w:lineRule="auto"/>
        <w:rPr>
          <w:sz w:val="20"/>
          <w:szCs w:val="20"/>
          <w:color w:val="auto"/>
        </w:rPr>
      </w:pPr>
      <w:r>
        <w:rPr>
          <w:rFonts w:ascii="Times New Roman" w:cs="Times New Roman" w:eastAsia="Times New Roman" w:hAnsi="Times New Roman"/>
          <w:sz w:val="18"/>
          <w:szCs w:val="18"/>
          <w:color w:val="auto"/>
        </w:rPr>
        <w:t>The following summary generally describes the principal federal (but not state and local) income tax consequences of the issuance of restricted shares and restricted stock units under the Equity Incentive Plan. It is general in nature and is not intended to cover all tax consequences that may apply to a particular participant or the Company. The provisions of the Internal Revenue Code of 1986, as amended, and the regulations thereunder relating to these matters are complex and subject to change and their impact in any one case may depend upon the particular circumstances.</w:t>
      </w:r>
    </w:p>
    <w:p>
      <w:pPr>
        <w:spacing w:after="0" w:line="119" w:lineRule="exact"/>
        <w:rPr>
          <w:sz w:val="20"/>
          <w:szCs w:val="20"/>
          <w:color w:val="auto"/>
        </w:rPr>
      </w:pPr>
    </w:p>
    <w:p>
      <w:pPr>
        <w:ind w:right="80" w:firstLine="648"/>
        <w:spacing w:after="0" w:line="293" w:lineRule="auto"/>
        <w:rPr>
          <w:sz w:val="20"/>
          <w:szCs w:val="20"/>
          <w:color w:val="auto"/>
        </w:rPr>
      </w:pPr>
      <w:r>
        <w:rPr>
          <w:rFonts w:ascii="Times New Roman" w:cs="Times New Roman" w:eastAsia="Times New Roman" w:hAnsi="Times New Roman"/>
          <w:sz w:val="18"/>
          <w:szCs w:val="18"/>
          <w:color w:val="auto"/>
        </w:rPr>
        <w:t>A Grantee will not realize any income, and the Company will not be entitled to a deduction, at the time that a restricted share or restricted stock unit is granted under the Equity Incentive Plan or at the time that a restricted stock unit vests. Upon the expiration of the period of restriction of a restricted share, the Grantee will recognize ordinary income, and the Company will be entitled to a corresponding deduction, equal to the fair market value of the shares on the date the restrictions lapse, and such income will be subject to income tax withholding and employment taxes. Upon the vesting of restricted stock units, the fair market value of the shares covered by the award on the vesting date will be subject to employment taxes. Upon distribution of any Common Stock, cash or other securities or property received in respect of restricted stock units, a Grantee will recognize as ordinary income, and the Company will be entitled to a corresponding deduction, equal to the fair market value of such Common Stock, cash or other securities or property on the date of distribution, and such income will be subject to income tax withholding. If any dividend equivalent amounts are paid to a Grantee (or dividends on restricted shares prior to the lapse of restrictions), they will be includible in such Grantee’s income as additional compensation (and not as dividend income) and will be subject to income and employment tax withholding.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right="120"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in respect of equity awards, that may be issued under existing equity compensation plans.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 exercise price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issuances under</w:t>
            </w: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equity compensation plans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4"/>
        </w:trPr>
        <w:tc>
          <w:tcPr>
            <w:tcW w:w="396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0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52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N/A</w:t>
            </w: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0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5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N/A</w:t>
            </w: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auto"/>
              <w:bottom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Company’s 2015 Equity Incentive Plan terminated in accordance with its terms prior to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at which a quorum is present is required to approve Proposal 4.</w:t>
      </w:r>
    </w:p>
    <w:p>
      <w:pPr>
        <w:spacing w:after="0" w:line="198"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For purposes of the vote on this Proposal 4, abstentions and broker non-votes will be considered present for the purpose of determining the presence of a quorum. However, if you do not instruct your broker how to vote on this proposal and your broker does not vote those shares, your shares will be treated as broker non-votes. Abstentions, broker non-votes and other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shares not voted will have no effect on this Proposal 4. Stockholders may vote “FOR,” “AGAINST,” or “ABSTAIN” with respect to this Proposal 4.</w:t>
      </w:r>
    </w:p>
    <w:p>
      <w:pPr>
        <w:spacing w:after="0" w:line="198"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We expect this Proposal 4 will not be considered a routine matter under applicable stock exchange rules. Accordingly, without specific instructions from you, your bank, broker or other nominee will not have discretionary authority to vote your shares on this Proposal 4. Accordingly, we urge you to direct your bank, broker or other nominee how to vote by returning your voting materials as instructed or by obtaining a proxy from your broker or other nominee in order to vote your shares in person at the Annual Meeting. Broker non-votes will have no effect on this Proposal 4.</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Equity Incentive Plan.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ind w:left="438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Leadership Structure; Board Role in Risk Oversight</w:t>
      </w:r>
    </w:p>
    <w:p>
      <w:pPr>
        <w:spacing w:after="0" w:line="281"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Leadership Structure. </w:t>
      </w:r>
      <w:r>
        <w:rPr>
          <w:rFonts w:ascii="Times New Roman" w:cs="Times New Roman" w:eastAsia="Times New Roman" w:hAnsi="Times New Roman"/>
          <w:sz w:val="18"/>
          <w:szCs w:val="18"/>
          <w:color w:val="auto"/>
        </w:rPr>
        <w:t>The Board does not have a formal policy regarding the leadership structure of the Company and whether the roles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and chief executive officer should be separated, but instead believes that these matters should be determined based on a number of different factors and circumstances, including the Company’s position, history, size, culture, stockholder base, board size and board composition and that, as a result, the appropriate structure may change from time to time as circumstances warrant. Currently, the roles of chairman of the board and chief executive officer of the Company are separated. Our chairman of the board is Mr. Ressler, and our chief executive officer is Mr. Thompson.</w:t>
      </w:r>
    </w:p>
    <w:p>
      <w:pPr>
        <w:spacing w:after="0" w:line="213" w:lineRule="exact"/>
        <w:rPr>
          <w:sz w:val="20"/>
          <w:szCs w:val="20"/>
          <w:color w:val="auto"/>
        </w:rPr>
      </w:pPr>
    </w:p>
    <w:p>
      <w:pPr>
        <w:ind w:right="280" w:firstLine="648"/>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Risk Oversight. </w:t>
      </w:r>
      <w:r>
        <w:rPr>
          <w:rFonts w:ascii="Times New Roman" w:cs="Times New Roman" w:eastAsia="Times New Roman" w:hAnsi="Times New Roman"/>
          <w:sz w:val="18"/>
          <w:szCs w:val="18"/>
          <w:color w:val="auto"/>
        </w:rPr>
        <w:t>The Company is exposed to a variety of risks. The entire Board regularly assesses major risks facing the Company and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for their mitigation. The Board may appoint a committee to address a specific risk or to oversee the Company’s response to a specific risk. In particular, the Audit Committee of the Board oversees the Company’s policies with respect to risk assessment and risk oversight and oversees risk with respect to financial reporting matters. The Board also relies on management to bring significant matters to its attention.</w:t>
      </w:r>
    </w:p>
    <w:p>
      <w:pPr>
        <w:spacing w:after="0" w:line="216" w:lineRule="exact"/>
        <w:rPr>
          <w:sz w:val="20"/>
          <w:szCs w:val="20"/>
          <w:color w:val="auto"/>
        </w:rPr>
      </w:pPr>
    </w:p>
    <w:p>
      <w:pPr>
        <w:jc w:val="both"/>
        <w:ind w:right="140" w:firstLine="648"/>
        <w:spacing w:after="0" w:line="305" w:lineRule="auto"/>
        <w:rPr>
          <w:sz w:val="20"/>
          <w:szCs w:val="20"/>
          <w:color w:val="auto"/>
        </w:rPr>
      </w:pPr>
      <w:r>
        <w:rPr>
          <w:rFonts w:ascii="Times New Roman" w:cs="Times New Roman" w:eastAsia="Times New Roman" w:hAnsi="Times New Roman"/>
          <w:sz w:val="18"/>
          <w:szCs w:val="18"/>
          <w:color w:val="auto"/>
        </w:rPr>
        <w:t>The Board believes that the Company’s current leadership structure, including the independent Audit Committee oversight function and the open access of the Board to the Company’s executive officers and senior management as the Board determines is appropriate, supports the oversight role of the Board in the Company’s risk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on Corporate Governance</w:t>
      </w:r>
    </w:p>
    <w:p>
      <w:pPr>
        <w:spacing w:after="0" w:line="281" w:lineRule="exact"/>
        <w:rPr>
          <w:sz w:val="20"/>
          <w:szCs w:val="20"/>
          <w:color w:val="auto"/>
        </w:rPr>
      </w:pPr>
    </w:p>
    <w:p>
      <w:pPr>
        <w:ind w:firstLine="648"/>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Governance Principles. </w:t>
      </w:r>
      <w:r>
        <w:rPr>
          <w:rFonts w:ascii="Times New Roman" w:cs="Times New Roman" w:eastAsia="Times New Roman" w:hAnsi="Times New Roman"/>
          <w:sz w:val="18"/>
          <w:szCs w:val="18"/>
          <w:color w:val="auto"/>
        </w:rPr>
        <w:t>The Board has adopted a set of Governance Principles that provides a framework for the governance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Governance Principles may be found on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“Governance Documents.” Such information is not incorporated by reference in this proxy statement.</w:t>
      </w:r>
    </w:p>
    <w:p>
      <w:pPr>
        <w:spacing w:after="0" w:line="207"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Contacting the Board. </w:t>
      </w:r>
      <w:r>
        <w:rPr>
          <w:rFonts w:ascii="Times New Roman" w:cs="Times New Roman" w:eastAsia="Times New Roman" w:hAnsi="Times New Roman"/>
          <w:sz w:val="18"/>
          <w:szCs w:val="18"/>
          <w:color w:val="auto"/>
        </w:rPr>
        <w:t>The Board welcomes your questions and comments. If you would like to communicate directly with the Board, or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concern related to the Company’s business ethics or conduct, financial statements, accounting practices or internal controls, then you may submit your correspondence to the Secretary of the Company, at 4700 Wilshire Boulevard, Los Angeles, California 90010, or you may call the Ethics Hotline at 1-800-292-4496. All communications will be forwarded to the Audit Committee, which in turn may forward certain communications to the entire Board in its discretion.</w:t>
      </w:r>
    </w:p>
    <w:p>
      <w:pPr>
        <w:spacing w:after="0" w:line="200" w:lineRule="exact"/>
        <w:rPr>
          <w:sz w:val="20"/>
          <w:szCs w:val="20"/>
          <w:color w:val="auto"/>
        </w:rPr>
      </w:pPr>
    </w:p>
    <w:p>
      <w:pPr>
        <w:ind w:right="320" w:firstLine="648"/>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Code of Ethics. </w:t>
      </w:r>
      <w:r>
        <w:rPr>
          <w:rFonts w:ascii="Times New Roman" w:cs="Times New Roman" w:eastAsia="Times New Roman" w:hAnsi="Times New Roman"/>
          <w:sz w:val="18"/>
          <w:szCs w:val="18"/>
          <w:color w:val="auto"/>
        </w:rPr>
        <w:t>The Board has adopted a Code of Business Conduct and Ethics that applies to all directors, officers and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Operator (as defined below) and the Administrator (as defined below), including the Company’s principal executive officer and principal financial and accounting officer (the “Code of Ethics”).</w:t>
      </w:r>
    </w:p>
    <w:p>
      <w:pPr>
        <w:spacing w:after="0" w:line="209"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If the Board amends any provisions of the Code of Ethics that applies to the Company’s principal executive officer or any other executive officer of the Company or grants a waiver in favor of any such persons, the Company intends to satisfy its disclosure requirements by disclosing the amendment or waiver in a Current Report on Form 8-K filed with the SEC within four business days following such amendment or waiver.</w:t>
      </w:r>
    </w:p>
    <w:p>
      <w:pPr>
        <w:spacing w:after="0" w:line="210" w:lineRule="exact"/>
        <w:rPr>
          <w:sz w:val="20"/>
          <w:szCs w:val="20"/>
          <w:color w:val="auto"/>
        </w:rPr>
      </w:pPr>
    </w:p>
    <w:p>
      <w:pPr>
        <w:ind w:right="560" w:firstLine="648"/>
        <w:spacing w:after="0" w:line="305" w:lineRule="auto"/>
        <w:rPr>
          <w:sz w:val="20"/>
          <w:szCs w:val="20"/>
          <w:color w:val="auto"/>
        </w:rPr>
      </w:pPr>
      <w:r>
        <w:rPr>
          <w:rFonts w:ascii="Times New Roman" w:cs="Times New Roman" w:eastAsia="Times New Roman" w:hAnsi="Times New Roman"/>
          <w:sz w:val="18"/>
          <w:szCs w:val="18"/>
          <w:color w:val="auto"/>
        </w:rPr>
        <w:t xml:space="preserve">The Company’s Code of Business Conduct and Ethics may be found on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“Governance Documents.”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is not incorporated by reference in this proxy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297" w:lineRule="exact"/>
        <w:rPr>
          <w:sz w:val="20"/>
          <w:szCs w:val="20"/>
          <w:color w:val="auto"/>
        </w:rPr>
      </w:pPr>
    </w:p>
    <w:p>
      <w:pPr>
        <w:ind w:right="440" w:firstLine="648"/>
        <w:spacing w:after="0" w:line="313" w:lineRule="auto"/>
        <w:rPr>
          <w:sz w:val="20"/>
          <w:szCs w:val="20"/>
          <w:color w:val="auto"/>
        </w:rPr>
      </w:pPr>
      <w:r>
        <w:rPr>
          <w:rFonts w:ascii="Times New Roman" w:cs="Times New Roman" w:eastAsia="Times New Roman" w:hAnsi="Times New Roman"/>
          <w:sz w:val="18"/>
          <w:szCs w:val="18"/>
          <w:color w:val="auto"/>
        </w:rPr>
        <w:t>The Board held a total of five meetings during the year ended December 31, 2025. Each director attended at least 75 percent of the aggregate number of Board meetings and the meetings of committees on which he or she served during 2025.</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ind w:right="120"/>
        <w:spacing w:after="0" w:line="313" w:lineRule="auto"/>
        <w:rPr>
          <w:sz w:val="20"/>
          <w:szCs w:val="20"/>
          <w:color w:val="auto"/>
        </w:rPr>
      </w:pPr>
      <w:r>
        <w:rPr>
          <w:rFonts w:ascii="Times New Roman" w:cs="Times New Roman" w:eastAsia="Times New Roman" w:hAnsi="Times New Roman"/>
          <w:sz w:val="18"/>
          <w:szCs w:val="18"/>
          <w:color w:val="auto"/>
        </w:rPr>
        <w:t>Directors are encouraged to attend the annual meeting of stockholders of the Company. The majority of members of our Board virtually attended our 2025 annual meeting of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Meetings</w:t>
      </w:r>
    </w:p>
    <w:p>
      <w:pPr>
        <w:spacing w:after="0" w:line="283" w:lineRule="exact"/>
        <w:rPr>
          <w:sz w:val="20"/>
          <w:szCs w:val="20"/>
          <w:color w:val="auto"/>
        </w:rPr>
      </w:pPr>
    </w:p>
    <w:p>
      <w:pPr>
        <w:ind w:right="140" w:firstLine="648"/>
        <w:spacing w:after="0" w:line="329" w:lineRule="auto"/>
        <w:rPr>
          <w:sz w:val="20"/>
          <w:szCs w:val="20"/>
          <w:color w:val="auto"/>
        </w:rPr>
      </w:pPr>
      <w:r>
        <w:rPr>
          <w:rFonts w:ascii="Times New Roman" w:cs="Times New Roman" w:eastAsia="Times New Roman" w:hAnsi="Times New Roman"/>
          <w:sz w:val="18"/>
          <w:szCs w:val="18"/>
          <w:color w:val="auto"/>
        </w:rPr>
        <w:t>The independent directors have at least one regularly scheduled meeting or executive session per year without the presence of other directors and management. Any independent director can request that an additional executive session be scheduled.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97"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8"/>
          <w:szCs w:val="18"/>
          <w:color w:val="auto"/>
        </w:rPr>
        <w:t>The Board has the following standing committees: an audit committee, a compensation committee and a nominating and corporate governance committee.</w:t>
      </w:r>
    </w:p>
    <w:p>
      <w:pPr>
        <w:spacing w:after="0" w:line="201" w:lineRule="exact"/>
        <w:rPr>
          <w:sz w:val="20"/>
          <w:szCs w:val="20"/>
          <w:color w:val="auto"/>
        </w:rPr>
      </w:pPr>
    </w:p>
    <w:p>
      <w:pPr>
        <w:ind w:right="140" w:firstLine="648"/>
        <w:spacing w:after="0" w:line="320"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Company has a standing Audit Committee that oversees the accounting and financial reporting processes as well as legal,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compliance and risk management matters. The Audit Committee consists of Ms. Wong (chair), Mr. Bryant and Ms. Edwards. The Audit Committee is comprised entirely of directors who meet the independence and financial literacy requirements of Nasdaq and applicable SEC rules. See “—Independence of Directors.” In addition, the Board has determined that Ms. Wong qualifies as an “audit committee financial expert” as defined in SEC rules.</w:t>
      </w:r>
    </w:p>
    <w:p>
      <w:pPr>
        <w:spacing w:after="0" w:line="201"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18"/>
          <w:szCs w:val="18"/>
          <w:color w:val="auto"/>
        </w:rPr>
        <w:t>The Audit Committee’s responsibilities include providing assistance to the Board in fulfilling its responsibilities with respect to oversight of the integrity of the Company’s financial statements, the Company’s compliance with legal and regulatory requirements, the independent registered public accounting firm’s qualifications, performance and independence, and the performance of the Company’s internal audit function, if any. In accordance with its Audit Committee Charter, the Audit Committee is directly responsible for the appointment and oversight of the independent registered public accounting firm, who reports directly to the Committee, approval of the engagement fee of the independent registered public accounting firm and pre-approval of the audit services and any permitted non audit services they may provide to the Company. In addition, the Audit Committee reviews the scope of audits as well as the annual audit plan and evaluates matters relating to the audit and internal controls of the Company. Further, the Audit Committee supervises the Company’s compliance with the cybersecurity rule promulgated by the SEC. The Audit Committee holds separate executive sessions, outside the presence of executive management, with the Company’s independent registered public accounting firm.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the Audit Committee held five meetings.</w:t>
      </w:r>
    </w:p>
    <w:p>
      <w:pPr>
        <w:spacing w:after="0" w:line="279" w:lineRule="exact"/>
        <w:rPr>
          <w:sz w:val="20"/>
          <w:szCs w:val="20"/>
          <w:color w:val="auto"/>
        </w:rPr>
      </w:pPr>
    </w:p>
    <w:p>
      <w:pPr>
        <w:jc w:val="both"/>
        <w:ind w:right="280" w:firstLine="648"/>
        <w:spacing w:after="0" w:line="329" w:lineRule="auto"/>
        <w:rPr>
          <w:sz w:val="20"/>
          <w:szCs w:val="20"/>
          <w:color w:val="auto"/>
        </w:rPr>
      </w:pPr>
      <w:r>
        <w:rPr>
          <w:rFonts w:ascii="Times New Roman" w:cs="Times New Roman" w:eastAsia="Times New Roman" w:hAnsi="Times New Roman"/>
          <w:sz w:val="18"/>
          <w:szCs w:val="18"/>
          <w:color w:val="auto"/>
        </w:rPr>
        <w:t xml:space="preserve">The charter for the Audit Committee may be found on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“Committee Charters.” Such information is not incorporated by reference in this proxy statement.</w:t>
      </w:r>
    </w:p>
    <w:p>
      <w:pPr>
        <w:spacing w:after="0" w:line="173" w:lineRule="exact"/>
        <w:rPr>
          <w:sz w:val="20"/>
          <w:szCs w:val="20"/>
          <w:color w:val="auto"/>
        </w:rPr>
      </w:pPr>
    </w:p>
    <w:p>
      <w:pPr>
        <w:jc w:val="both"/>
        <w:ind w:right="80" w:firstLine="680"/>
        <w:spacing w:after="0" w:line="295"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two of our independent directors: Mr. Bech (chairman) and Ms. Wong.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has adopted a charter for the Compensation Committee that sets forth its specific functions, powers, duties and responsibilities. Among other things, the Compensation Committee charter calls upon the Compensation Committee to:</w:t>
      </w:r>
    </w:p>
    <w:p>
      <w:pPr>
        <w:spacing w:after="0" w:line="35" w:lineRule="exact"/>
        <w:rPr>
          <w:sz w:val="20"/>
          <w:szCs w:val="20"/>
          <w:color w:val="auto"/>
        </w:rPr>
      </w:pPr>
    </w:p>
    <w:p>
      <w:pPr>
        <w:ind w:left="660" w:right="40" w:hanging="328"/>
        <w:spacing w:after="0" w:line="270"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In consultation with senior management, establish the Company’s general compensation philosophy and oversee the development, implementation and administration of compensation plans, policies and programs, if any;</w:t>
      </w:r>
    </w:p>
    <w:p>
      <w:pPr>
        <w:spacing w:after="0" w:line="36" w:lineRule="exact"/>
        <w:rPr>
          <w:rFonts w:ascii="Arial" w:cs="Arial" w:eastAsia="Arial" w:hAnsi="Arial"/>
          <w:sz w:val="22"/>
          <w:szCs w:val="22"/>
          <w:color w:val="auto"/>
        </w:rPr>
      </w:pPr>
    </w:p>
    <w:p>
      <w:pPr>
        <w:ind w:left="660" w:right="360" w:hanging="328"/>
        <w:spacing w:after="0" w:line="270"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Oversee compliance of all compensation-related disclosure requirements, including producing an annual Compensation Committee Report for inclusion in the Company’s proxy statement in accordance with applicable SEC rules and regulations; and</w:t>
      </w:r>
    </w:p>
    <w:p>
      <w:pPr>
        <w:spacing w:after="0" w:line="36" w:lineRule="exact"/>
        <w:rPr>
          <w:rFonts w:ascii="Arial" w:cs="Arial" w:eastAsia="Arial" w:hAnsi="Arial"/>
          <w:sz w:val="22"/>
          <w:szCs w:val="22"/>
          <w:color w:val="auto"/>
        </w:rPr>
      </w:pPr>
    </w:p>
    <w:p>
      <w:pPr>
        <w:ind w:left="660" w:right="3180" w:hanging="328"/>
        <w:spacing w:after="0" w:line="275"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Review and make recommendations to the Board regarding any changes in compensation for directors. During 2025, the Compensation Committee held one meeting.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right="820" w:firstLine="680"/>
        <w:spacing w:after="0" w:line="305" w:lineRule="auto"/>
        <w:rPr>
          <w:sz w:val="20"/>
          <w:szCs w:val="20"/>
          <w:color w:val="auto"/>
        </w:rPr>
      </w:pPr>
      <w:r>
        <w:rPr>
          <w:rFonts w:ascii="Times New Roman" w:cs="Times New Roman" w:eastAsia="Times New Roman" w:hAnsi="Times New Roman"/>
          <w:sz w:val="18"/>
          <w:szCs w:val="18"/>
          <w:color w:val="auto"/>
        </w:rPr>
        <w:t xml:space="preserve">The charter for the Compensation Committee may be found on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“Committee Charters.”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is not incorporated by reference in this proxy statement.</w:t>
      </w:r>
    </w:p>
    <w:p>
      <w:pPr>
        <w:spacing w:after="0" w:line="194" w:lineRule="exact"/>
        <w:rPr>
          <w:sz w:val="20"/>
          <w:szCs w:val="20"/>
          <w:color w:val="auto"/>
        </w:rPr>
      </w:pPr>
    </w:p>
    <w:p>
      <w:pPr>
        <w:ind w:right="120" w:firstLine="680"/>
        <w:spacing w:after="0" w:line="295"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is comprised of two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directors: Mr. Bech (chairman) and Ms. Edwards. The Nominating and Corporate Governance Committee was formed to establish and implement our corporate governance practices and to nominate individuals for election to the Board. Our Nominating and Corporate Governance Committee operates pursuant to a written charter adopted by our Board. Among other things, the committee charter calls upon the Nominating and Corporate Governance Committee to: (i) periodically review the size and composition of the Board and recommend to the Board such modifications to its size and/or composition as are determined by the Nominating and Corporate Governance Committee to be necessary or desirable; (ii) recommend to the Board the director nominees for the next annual meeting of stockholders; and (iii) develop and recommend to the Board a set of corporate governance principles applicable to the Company.</w:t>
      </w: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During 2025, the Nominating and Corporate Governance Committee held one meeting.</w:t>
      </w:r>
    </w:p>
    <w:p>
      <w:pPr>
        <w:spacing w:after="0" w:line="293" w:lineRule="exact"/>
        <w:rPr>
          <w:sz w:val="20"/>
          <w:szCs w:val="20"/>
          <w:color w:val="auto"/>
        </w:rPr>
      </w:pPr>
    </w:p>
    <w:p>
      <w:pPr>
        <w:ind w:right="820" w:firstLine="680"/>
        <w:spacing w:after="0" w:line="305" w:lineRule="auto"/>
        <w:rPr>
          <w:sz w:val="20"/>
          <w:szCs w:val="20"/>
          <w:color w:val="auto"/>
        </w:rPr>
      </w:pPr>
      <w:r>
        <w:rPr>
          <w:rFonts w:ascii="Times New Roman" w:cs="Times New Roman" w:eastAsia="Times New Roman" w:hAnsi="Times New Roman"/>
          <w:sz w:val="18"/>
          <w:szCs w:val="18"/>
          <w:color w:val="auto"/>
        </w:rPr>
        <w:t xml:space="preserve">The charter for the Nominating and Corporate Governance Committee may be found on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“Committee Charters.”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is not incorporated by reference in this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 Procedures</w:t>
      </w:r>
    </w:p>
    <w:p>
      <w:pPr>
        <w:spacing w:after="0" w:line="279" w:lineRule="exact"/>
        <w:rPr>
          <w:sz w:val="20"/>
          <w:szCs w:val="20"/>
          <w:color w:val="auto"/>
        </w:rPr>
      </w:pPr>
    </w:p>
    <w:p>
      <w:pPr>
        <w:ind w:right="20" w:firstLine="648"/>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w:t>
      </w:r>
      <w:r>
        <w:rPr>
          <w:rFonts w:ascii="Times New Roman" w:cs="Times New Roman" w:eastAsia="Times New Roman" w:hAnsi="Times New Roman"/>
          <w:sz w:val="18"/>
          <w:szCs w:val="18"/>
          <w:color w:val="auto"/>
        </w:rPr>
        <w:t>The Nominating and Corporate Governance Committee believes that each member of the Board must possess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and professional ethics, integrity and values, and be committed to representing the long term interests of the stockholders, as well as an inquisitive mind, an objective perspective, practical wisdom and mature judgment. In addition, directors must be willing to devote sufficient time to carry out their duties and responsibilities effectively.</w:t>
      </w:r>
    </w:p>
    <w:p>
      <w:pPr>
        <w:spacing w:after="0" w:line="19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Nominees. </w:t>
      </w:r>
      <w:r>
        <w:rPr>
          <w:rFonts w:ascii="Times New Roman" w:cs="Times New Roman" w:eastAsia="Times New Roman" w:hAnsi="Times New Roman"/>
          <w:sz w:val="18"/>
          <w:szCs w:val="18"/>
          <w:color w:val="auto"/>
        </w:rPr>
        <w:t>The Nominating and Corporate Governance Committee may consider those factors it deems appropriate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director candidates as outlined above. The skills and personality of each director should fit with those of the other directors in building a Board that is effective, collegial and responsive to the needs of the Company. The Nominating and Corporate Governance Committee may consider candidates for the Board from any reasonable source, including current board members, stockholders, professional search firms or other persons. The Nominating and Corporate Governance Committee does not evaluate candidates differently based on who has made the recommendation. The Nominating and Corporate Governance Committee may hire and pay a fee to consultants or search firms to assist in the process of identifying and evaluating candidates; however, no such consultant or search firm was engaged in the year ended December 31, 2025.</w:t>
      </w:r>
    </w:p>
    <w:p>
      <w:pPr>
        <w:spacing w:after="0" w:line="21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i w:val="1"/>
          <w:iCs w:val="1"/>
          <w:color w:val="auto"/>
        </w:rPr>
        <w:t xml:space="preserve">Stockholder Nominees. </w:t>
      </w:r>
      <w:r>
        <w:rPr>
          <w:rFonts w:ascii="Times New Roman" w:cs="Times New Roman" w:eastAsia="Times New Roman" w:hAnsi="Times New Roman"/>
          <w:sz w:val="18"/>
          <w:szCs w:val="18"/>
          <w:color w:val="auto"/>
        </w:rPr>
        <w:t>The Nominating and Corporate Governance Committee will consider properly submitted stockholder nominees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to the Board and will apply the same evaluation criteria in considering such nominees as it would to persons nominated under any other circumstances. Any stockholder nominations proposed for consideration by the Nominating and Corporate Governance Committee should include the nominee’s name and sufficient biographical information to demonstrate that the nominee meets the qualification requirements for board service as set forth under “—Director Qualifications.” The nominee’s written consent to the nomination should also be included with the nomination submission, which should be sent in accordance with the provisions of our bylaws and addressed to: Mr. Christopher Filosa, Secretary of the Company, 4700 Wilshire Boulevard, Los Angeles, California 90010.</w:t>
      </w:r>
    </w:p>
    <w:p>
      <w:pPr>
        <w:spacing w:after="0" w:line="219"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Additional information regarding submitting stockholder proposals is set forth in our bylaws. Stockholders may request a copy of our bylaws from the Company’s Secretary, Mr. Christopher Filosa, Secretary of the Company, Creative Media &amp; Community Trust Corporation, 4700 Wilshire Boulevard, Los Angeles, California 90010.</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names of the persons nominated as directors, their ages, their offices in the Company, if any, their principal occupations or employment for at least the past five years, the length of their tenure as directors of the Company and the names of other public companies in which such persons hold or have held directorships during the past five years.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Borders>
              <w:bottom w:val="single" w:sz="8" w:color="CCEEFF"/>
            </w:tcBorders>
          </w:tcPr>
          <w:p>
            <w:pPr>
              <w:spacing w:after="0"/>
              <w:rPr>
                <w:sz w:val="18"/>
                <w:szCs w:val="18"/>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8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Douglas Bech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shd w:val="clear" w:color="auto" w:fill="CCEEFF"/>
          </w:tcPr>
          <w:p>
            <w:pPr>
              <w:spacing w:after="0"/>
              <w:rPr>
                <w:sz w:val="24"/>
                <w:szCs w:val="2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(independent)</w:t>
            </w:r>
          </w:p>
        </w:tc>
      </w:tr>
      <w:tr>
        <w:trPr>
          <w:trHeight w:val="68"/>
        </w:trPr>
        <w:tc>
          <w:tcPr>
            <w:tcW w:w="5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40" w:type="dxa"/>
            <w:vAlign w:val="bottom"/>
            <w:shd w:val="clear" w:color="auto" w:fill="CCEEFF"/>
          </w:tcPr>
          <w:p>
            <w:pPr>
              <w:spacing w:after="0"/>
              <w:rPr>
                <w:sz w:val="5"/>
                <w:szCs w:val="5"/>
                <w:color w:val="auto"/>
              </w:rPr>
            </w:pPr>
          </w:p>
        </w:tc>
      </w:tr>
      <w:tr>
        <w:trPr>
          <w:trHeight w:val="22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Hope Bryant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(independent)</w:t>
            </w:r>
          </w:p>
        </w:tc>
      </w:tr>
      <w:tr>
        <w:trPr>
          <w:trHeight w:val="22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Marcie Edwards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(independent)</w:t>
            </w:r>
          </w:p>
        </w:tc>
      </w:tr>
      <w:tr>
        <w:trPr>
          <w:trHeight w:val="23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Shaul Kuba</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Ressler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23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Avraham Shemesh</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Elaine Wong</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(independent)</w:t>
            </w:r>
          </w:p>
        </w:tc>
      </w:tr>
    </w:tbl>
    <w:p>
      <w:pPr>
        <w:spacing w:after="0" w:line="329" w:lineRule="exact"/>
        <w:rPr>
          <w:sz w:val="20"/>
          <w:szCs w:val="20"/>
          <w:color w:val="auto"/>
        </w:rPr>
      </w:pPr>
    </w:p>
    <w:p>
      <w:pPr>
        <w:ind w:right="20"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Douglas Bech </w:t>
      </w:r>
      <w:r>
        <w:rPr>
          <w:rFonts w:ascii="Times New Roman" w:cs="Times New Roman" w:eastAsia="Times New Roman" w:hAnsi="Times New Roman"/>
          <w:sz w:val="18"/>
          <w:szCs w:val="18"/>
          <w:color w:val="auto"/>
        </w:rPr>
        <w:t>has served as a director of the Company since March 2014, and since 1997 as founder and chief executive officer of Raintree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Resorts International (“Raintree”), a private enterprise engaged in vacation ownership and resort operations in Mexico, the United States and Canada. Prior to founding Raintree, Mr. Bech practiced securities and corporate finance law from 1970 to 1997. Mr. Bech also served as a director of J2 Global, Inc. from November 2000 to October 2021 and from August 1988 through November 2000, he served as a director of eFax.com, a company J2 Global, Inc. acquired in November 2000. In October 2021 Mr. Bech was appointed non-executive chairman of the board of directors of Consensus Cloud Solutions, Inc., a company which was spun off to the J2 (now renamed Ziff-Davis) shareholders. Mr. Bech also served as presiding independent director of HollyFrontier Corporation from July 2011 until May 2021, when Mr. Bech retired from its board of directors. Mr. Bech had previously served as a director of Frontier Oil Corporation from 1993 until its merger with Holly Corporation in July 2011. Mr. Bech also served, from 2014 until February 1, 2016, as an independent trust manager of Moody National REIT II, Inc., a registered, non-traded real estate investment trust that acquires limited service hotels in the United States. Mr. Bech’s previous work as a securities and corporate finance lawyer, as a director of other diverse public companies, and his experience as a chief executive officer of a multi-national enterprise provides expertise on corporate governance, legal matters and finance, as well as a general business management perspective to the Board.</w:t>
      </w:r>
    </w:p>
    <w:p>
      <w:pPr>
        <w:spacing w:after="0" w:line="208" w:lineRule="exact"/>
        <w:rPr>
          <w:sz w:val="20"/>
          <w:szCs w:val="20"/>
          <w:color w:val="auto"/>
        </w:rPr>
      </w:pPr>
    </w:p>
    <w:p>
      <w:pPr>
        <w:ind w:right="80"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John Hope Bryant </w:t>
      </w:r>
      <w:r>
        <w:rPr>
          <w:rFonts w:ascii="Times New Roman" w:cs="Times New Roman" w:eastAsia="Times New Roman" w:hAnsi="Times New Roman"/>
          <w:sz w:val="18"/>
          <w:szCs w:val="18"/>
          <w:color w:val="auto"/>
        </w:rPr>
        <w:t>has served as a director of the Company since November 2022. Mr. Bryant is chairman and chief executive officer of Bryant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Ventures and former founder, chairman, and CEO The Promise Homes Company (“TPHC”), the largest for-profit minority controlled owner of institutional-quality, single-family residential rental homes in the U.S. Bryant founded TPHC as a start-up idea in the summer of 2017, and, by the summer of 2021, it had become the largest minority controlled single family home rental company in the nation. Further, Mr. Bryant has served as a director of Nextdoor Holdings, Inc. since November 2021 and currently serves on its Nominating, Corporate Governance, and Corporate Responsibility Committee. Mr. Bryant is also the Founder, Chairman, and Chief Executive Officer of Operation HOPE, Inc., the largest not-for-profit and best-in-class provider of financial literacy, financial inclusion, and economic empowerment tools and services in the United States for youth and adults. He has served as an advisor to three sitting U.S. presidents from both political parties. Mr. Bryant is a founding member of the Clinton Global Initiative and a member of the World Economic Forum’s “The Forum of Young Global Leaders.” In addition, he hosts a national podcast series on iHeart and is a regular guest on CNBC’s Squawk Box, a columnist for Bloomberg Opinion and a contributor to Huffington Post and Black Enterprise. Mr. Bryant was selected to serve as a director because of his experience as an entrepreneur and a real estate investor, his leadership skill and his deep connections to the community, all of which are expected to bring valuable insight to the Board.</w:t>
      </w:r>
    </w:p>
    <w:p>
      <w:pPr>
        <w:spacing w:after="0" w:line="221" w:lineRule="exact"/>
        <w:rPr>
          <w:sz w:val="20"/>
          <w:szCs w:val="20"/>
          <w:color w:val="auto"/>
        </w:rPr>
      </w:pPr>
    </w:p>
    <w:p>
      <w:pPr>
        <w:ind w:right="140" w:firstLine="648"/>
        <w:spacing w:after="0" w:line="321" w:lineRule="auto"/>
        <w:rPr>
          <w:sz w:val="20"/>
          <w:szCs w:val="20"/>
          <w:color w:val="auto"/>
        </w:rPr>
      </w:pPr>
      <w:r>
        <w:rPr>
          <w:rFonts w:ascii="Times New Roman" w:cs="Times New Roman" w:eastAsia="Times New Roman" w:hAnsi="Times New Roman"/>
          <w:sz w:val="17"/>
          <w:szCs w:val="17"/>
          <w:b w:val="1"/>
          <w:bCs w:val="1"/>
          <w:color w:val="auto"/>
        </w:rPr>
        <w:t xml:space="preserve">Marcie Edwards </w:t>
      </w:r>
      <w:r>
        <w:rPr>
          <w:rFonts w:ascii="Times New Roman" w:cs="Times New Roman" w:eastAsia="Times New Roman" w:hAnsi="Times New Roman"/>
          <w:sz w:val="17"/>
          <w:szCs w:val="17"/>
          <w:color w:val="auto"/>
        </w:rPr>
        <w:t>has served as a director of the Company since her appointment by our Board on February 11, 2021. Ms. Edwards served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manager of the Los Angeles Department of Water and Power (LADWP) from 2014 to 2017. In that capacity, she managed a city agency with an annual budget of more than $6 billion and approximately 10,000 employees. As part of her role at LADWP, she served as a member of the board of the Water and Power Employees’ Retirement Plan, overseeing more than $12 billion in investments. Prior to her tenure at LADWP, Ms. Edwards was the city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ind w:right="40"/>
        <w:spacing w:after="0" w:line="293" w:lineRule="auto"/>
        <w:rPr>
          <w:sz w:val="20"/>
          <w:szCs w:val="20"/>
          <w:color w:val="auto"/>
        </w:rPr>
      </w:pPr>
      <w:r>
        <w:rPr>
          <w:rFonts w:ascii="Times New Roman" w:cs="Times New Roman" w:eastAsia="Times New Roman" w:hAnsi="Times New Roman"/>
          <w:sz w:val="18"/>
          <w:szCs w:val="18"/>
          <w:color w:val="auto"/>
        </w:rPr>
        <w:t>manager of the City of Anaheim from 2013 to 2014, overseeing an annual budget of more than $1 billion with approximately 3,000 employees, including a fire department, a police department, and a public utility company. From 2000 to 2012, Ms. Edwards was the utility general manager of Anaheim Public Utilities and, prior to 2000, Ms. Edwards spent almost 25 years with LADWP in a variety of positions. From 2019 to 2021, she was chair to the California Wildfire Safety Advisory Board as a gubernatorial appointee. Ms. Edwards served as a board member of S&amp;C Electric Company in Chicago and a member of its audit committee from 2019 and 2021, respectively, until 2024. In 2019, Ms. Edwards was invited to serve a five-year assignment on the Southern California Gas Company’s Advisory Safety Council, which concluded in December 2024. Ms. Edwards has a Master in Public Administration degree from the University of LaVerne. Ms. Edwards’ extensive experience in public administration provides the Board with a strong resource on a variety of important strategic matters.</w:t>
      </w:r>
    </w:p>
    <w:p>
      <w:pPr>
        <w:spacing w:after="0" w:line="256"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Shaul Kuba </w:t>
      </w:r>
      <w:r>
        <w:rPr>
          <w:rFonts w:ascii="Times New Roman" w:cs="Times New Roman" w:eastAsia="Times New Roman" w:hAnsi="Times New Roman"/>
          <w:sz w:val="18"/>
          <w:szCs w:val="18"/>
          <w:color w:val="auto"/>
        </w:rPr>
        <w:t>has served as a director of the Company since March 2014 and chief investment officer of the Company since March 2023. Mr. Kuba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co-founder, principal and president of CIM’s Real Asset Services division with more than 30 years of active real estate, infrastructure and lending experience. Since co-founding CIM Group, L.P. (together with its controlled affiliates, “CIM”) in 1994, Mr. Kuba has been an integral part of building CIM Group, L.P.’s platforms. As a principal and head of CIM Group, L.P.’s Development Group, he is actively involved in the development, redevelopment and repositioning of CIM Group, L.P.’s real estate assets. Additionally, Mr. Kuba is instrumental in sourcing new opportunities and establishing and maintaining relationships with national and regional retailers, hospitality brands and restaurateurs. He serves on CIM Group, L.P.’s Investment, Allocation and Real Asset Management Committees, as well as various subcommittees and provides guidance on the diverse opportunities across CIM’s platforms. He also serves as an officer of various affiliates of CIM. Prior to CIM Group, L.P., Mr. Kuba was involved in a number of successful entrepreneurial real estate activities including co-founding Dekel Development, a developer of commercial and multifamily properties in Los Angeles. Mr. Kuba was selected to serve as a director because of his significant experience with the real estate development and sourcing new transactions as a result of his experience with CIM Group L.P., including as co-founder thereof, as well as his leadership roles at CIM Group L.P., all of which are expected to bring valuable insight to the Board of Directors.</w:t>
      </w:r>
    </w:p>
    <w:p>
      <w:pPr>
        <w:spacing w:after="0" w:line="221"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Richard Ressler </w:t>
      </w:r>
      <w:r>
        <w:rPr>
          <w:rFonts w:ascii="Times New Roman" w:cs="Times New Roman" w:eastAsia="Times New Roman" w:hAnsi="Times New Roman"/>
          <w:sz w:val="18"/>
          <w:szCs w:val="18"/>
          <w:color w:val="auto"/>
        </w:rPr>
        <w:t>has served as director and chairman of the Company since March 2014. Mr. Ressler is the founder and president of Orchard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Corporation (“Orchard Capital”), a firm that provides consulting and advisory services to companies in which Orchard Capital or its affiliates invest. Through his affiliation with Orchard Capital, Mr. Ressler serves in various senior capacities with, among others, (i) CIM Group, L.P., a community-focused real estate and infrastructure owner, operator, lender and developer and the indirect parent of CIM Real Estate Finance Management, LLC, the external manager of CIM Real Estate Finance Trust, Inc. (“CMFT”), (ii) Orchard First Source Asset Management Holdings, LLC ( “OFSAM Holdings”), a holding company consisting of asset management businesses, including OFS Capital Management, LLC, a registered investment adviser focusing primarily on investments in middle-market loans and broadly syndicated loans, debt and equity positions in CLOs and other structured credit investments and other registered investment advisers focusing primarily on investments in broadly syndicated loan, and (iii) OCV Management, LLC (“OCV”), an investor, owner and operator of technology companies. Mr. Ressler also serves as a board member for various public and private companies in which Orchard Capital or its affiliates invest. Mr. Ressler served as non-executive chairman of the board of Ziff Davis, Inc. (Nasdaq: ZD), formerly known as j2Global, Inc., from 1997 until May 2022 and as its chief executive officer from 1997 to 2000. In addition, he has also served as the chief executive officer and president and as a director of CMFT, a non-listed REIT operated by an affiliate of CIM that invests in net lease core real estate assets as well as real estate loans and other credit investments, since February 2018, and has served as chairman of its board of directors since August 2018. Mr. Ressler has served as the chairman of the investment risk management committee of CMFT since April 2022 and served as a member of the nominating and corporate governance committee from August 2018 to March 2022. Mr. Ressler served as the chief executive officer, president and a director of CIM Income NAV, Inc. (“CIM Income NAV”) from February 2018 to December 2021 and as Chairman of the board of directors of CIM Income NAV from August 2018 to December 2021 until CIM Income NAV’s merger with and into CMFT in December 2021. Mr. Ressler served as the chief executive officer, president, and director of Cole Office &amp; Industrial REIT (CCIT III), Inc. (“CCIT III”) from February 2018 and as chairman of its board of directors from August 2018 until CCIT III’s merger with and into CMFT in December 2020. Mr. Ressler also served as a director of Cole Office &amp; Industrial REIT (CCIT II), Inc. (“CCIT II”) from January 2019 until CCIT II’s merger with Peakstone Realty Trust (f/k/a Griffin Realty Trust, Inc. (“GRT”)) in March 2021. He served as a director of Cole Credit Property Trust V, Inc. (“CCPT V”) from January 2019 to October 2019.</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firstLine="648"/>
        <w:spacing w:after="0" w:line="293" w:lineRule="auto"/>
        <w:rPr>
          <w:sz w:val="20"/>
          <w:szCs w:val="20"/>
          <w:color w:val="auto"/>
        </w:rPr>
      </w:pPr>
      <w:r>
        <w:rPr>
          <w:rFonts w:ascii="Times New Roman" w:cs="Times New Roman" w:eastAsia="Times New Roman" w:hAnsi="Times New Roman"/>
          <w:sz w:val="18"/>
          <w:szCs w:val="18"/>
          <w:color w:val="auto"/>
        </w:rPr>
        <w:t>Mr. Ressler co-founded CIM Group, L.P. in 1994 and serves as the executive chairman of CIM and as an officer of various affiliates of CIM, including our Administrator and CIM Urban GP. Mr. Ressler co-founded the predecessor of OFSAM Holdings in 2001 and chairs its executive committee. Mr. Ressler co-founded OCV in 2016 and chairs its executive committee. Prior to founding Orchard Capital, from 1988 until 1994, Mr. Ressler served as vice chairman of Brooke Group Limited, the predecessor of Vector Group, Ltd. (NYSE: VGR) and served in various executive capacities at VGR and its subsidiaries. Prior to VGR, Mr. Ressler was with Drexel Burnham Lambert, Inc., where he focused on merger and acquisition transactions and the financing needs of middle-market companies. Mr. Ressler began his career in 1983 with Cravath, Swaine and Moore LLP, working on public offerings, private placements, and merger and acquisition transactions. Mr. Ressler holds a B.A. from Brown University, and J.D. and M.B.A. degrees from Columbia University. Mr. Ressler was selected to serve as a director because of his extensive real estate, business management and finance experience and expertise, in addition to his leadership roles at several public companies, all of which are expected to bring valuable insight to the board of directors.</w:t>
      </w:r>
    </w:p>
    <w:p>
      <w:pPr>
        <w:spacing w:after="0" w:line="206" w:lineRule="exact"/>
        <w:rPr>
          <w:sz w:val="20"/>
          <w:szCs w:val="20"/>
          <w:color w:val="auto"/>
        </w:rPr>
      </w:pPr>
    </w:p>
    <w:p>
      <w:pPr>
        <w:ind w:right="40" w:firstLine="648"/>
        <w:spacing w:after="0" w:line="311" w:lineRule="auto"/>
        <w:rPr>
          <w:sz w:val="20"/>
          <w:szCs w:val="20"/>
          <w:color w:val="auto"/>
        </w:rPr>
      </w:pPr>
      <w:r>
        <w:rPr>
          <w:rFonts w:ascii="Times New Roman" w:cs="Times New Roman" w:eastAsia="Times New Roman" w:hAnsi="Times New Roman"/>
          <w:sz w:val="17"/>
          <w:szCs w:val="17"/>
          <w:b w:val="1"/>
          <w:bCs w:val="1"/>
          <w:color w:val="auto"/>
        </w:rPr>
        <w:t xml:space="preserve">Avraham Shemesh </w:t>
      </w:r>
      <w:r>
        <w:rPr>
          <w:rFonts w:ascii="Times New Roman" w:cs="Times New Roman" w:eastAsia="Times New Roman" w:hAnsi="Times New Roman"/>
          <w:sz w:val="17"/>
          <w:szCs w:val="17"/>
          <w:color w:val="auto"/>
        </w:rPr>
        <w:t>has served as a director of the Company since March 2014. Mr. Shemesh is a co-founder, principal and president of CIM’s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Real Asset Management division with more than 30 years of active real estate, infrastructure and lending experience. Since co-founding CIM Group, L.P. in 1994, Mr. Shemesh has been instrumental in building CIM Group, L.P.’s real estate, infrastructure and debt platforms. He serves on CIM Group, L.P.’s Investment, Allocation, Real Assets Management and Valuation Committees, as well as various subcommittees, providing guidance on the diverse opportunities available across CIM’s various platforms. Mr. Shemesh is responsible for CIM’s long-time relationships with strategic institutions and oversees teams essential to acquisitions, portfolio management and internal and external communication. He serves as an officer of various affiliates of CIM. In addition, Mr. Shemesh served as a director of CMFT from March 2019 until February 2024. He served as a director of CIM Income NAV from January 2019 to December 2021 when CIM Income NAV merged with CMFT. He also served as the chief executive officer and president and as a director of CCIT II from February 2018, and as chairman of the board of directors of CCIT II from August 2018 until CCIT II’s merger with GRT in March 2021. Until the mergers of such entities with and into CMFT in December 2020, he served as the Chief Executive Officer and as a director of CCPT V beginning in March 2018, as Chairman of the board of directors of CCPT V beginning in August 2018, and as a director of CCIT III beginning in January 2019. Prior to CIM Group, L.P., Mr. Shemesh was involved in a number of successful entrepreneurial real estate activities, including co-founding Dekel Development, a developer of a wide variety of commercial and multifamily properties in Los Angeles. Mr. Shemesh was selected to serve as a director because of his significant experience with the real estate acquisition process and strategic planning as a result of his experience with CIM Group L.P., including as co-founder thereof, as well as his leadership roles at CIM and CMFT, all of which are expected to bring valuable insight to the Board of Directors.</w:t>
      </w:r>
    </w:p>
    <w:p>
      <w:pPr>
        <w:spacing w:after="0" w:line="196" w:lineRule="exact"/>
        <w:rPr>
          <w:sz w:val="20"/>
          <w:szCs w:val="20"/>
          <w:color w:val="auto"/>
        </w:rPr>
      </w:pPr>
    </w:p>
    <w:p>
      <w:pPr>
        <w:ind w:right="20"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Elaine Wong </w:t>
      </w:r>
      <w:r>
        <w:rPr>
          <w:rFonts w:ascii="Times New Roman" w:cs="Times New Roman" w:eastAsia="Times New Roman" w:hAnsi="Times New Roman"/>
          <w:sz w:val="18"/>
          <w:szCs w:val="18"/>
          <w:color w:val="auto"/>
        </w:rPr>
        <w:t>has served as a director of the Company since May 2022. Ms. Wong was a principal at CIM Group, L.P. and served as its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&amp; communications from May 2018 until her retirement from CIM at the end of June 2021. Ms. Wong was a member of CIM’s Investment Committee from February 2015 to June 2021. From February 2015 to April 2018, Ms. Wong served as CIM’s global head of partner &amp; co-investor relations. She served at CIM from February 2012 to January 2015 as 1st vice president, global head of fundraising and investor relations, from February 2010 to January 2012 as vice president, fundraising &amp; investor relations, and from April 2007 to January 2010 as associate, investor relations. She was also a director of CMFT from October 2019 to December 2021, a director of CIM Income NAV from October 2019 until its merger with CMFT in December 2021, a director of CCPT V from October 2019 until its merger with CMFT in December 2020 and a director of CCIT II from October 2019 until its merger with GRT in March 2021. Prior to joining CIM, Ms. Wong served from May 2005 to March 2007 as an associate at Perry Capital, LLC, and from July 2001 to April 2005 as an analyst, and then associate in the equities division, financial and strategic management, of Goldman Sachs &amp; Co. Ms. Wong received a Bachelor of Science degree in accounting and finance from New York University, Leonard N. Stern School of Business. Ms. Wong was selected to serve as a director because of her financial background and experience and expertise in investor relations, marketing and communications strategy, and fundraising, all of which are expected to bring valuable insight to the Board.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2" w:lineRule="exact"/>
        <w:rPr>
          <w:sz w:val="20"/>
          <w:szCs w:val="20"/>
          <w:color w:val="auto"/>
        </w:rPr>
      </w:pPr>
    </w:p>
    <w:p>
      <w:pPr>
        <w:ind w:right="60" w:firstLine="648"/>
        <w:spacing w:after="0" w:line="329" w:lineRule="auto"/>
        <w:rPr>
          <w:sz w:val="20"/>
          <w:szCs w:val="20"/>
          <w:color w:val="auto"/>
        </w:rPr>
      </w:pPr>
      <w:r>
        <w:rPr>
          <w:rFonts w:ascii="Times New Roman" w:cs="Times New Roman" w:eastAsia="Times New Roman" w:hAnsi="Times New Roman"/>
          <w:sz w:val="18"/>
          <w:szCs w:val="18"/>
          <w:color w:val="auto"/>
        </w:rPr>
        <w:t>The Company uses a combination of cash and share based compensation to attract and retain qualified candidates to serve on the Board. In setting compensation for the Company’s independent directors of the Board, the Compensation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5" w:name="page26"/>
    <w:bookmarkEnd w:id="25"/>
    <w:p>
      <w:pPr>
        <w:jc w:val="both"/>
        <w:ind w:right="200"/>
        <w:spacing w:after="0" w:line="305" w:lineRule="auto"/>
        <w:rPr>
          <w:sz w:val="20"/>
          <w:szCs w:val="20"/>
          <w:color w:val="auto"/>
        </w:rPr>
      </w:pPr>
      <w:r>
        <w:rPr>
          <w:rFonts w:ascii="Times New Roman" w:cs="Times New Roman" w:eastAsia="Times New Roman" w:hAnsi="Times New Roman"/>
          <w:sz w:val="18"/>
          <w:szCs w:val="18"/>
          <w:color w:val="auto"/>
        </w:rPr>
        <w:t>Committee considers, among other things, the substantial time commitment on the part of the directors in fulfilling their duties as well as the skill level it requires of directors. In addition, all directors of the Board are reimbursed by the Company for their expenses related to attending meetings of the Board and its committees.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The cash component of each independent director’s compensation is set forth according to the following schedule:</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1"/>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board retainer</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audit committee chair retainer</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238" w:lineRule="exact"/>
        <w:rPr>
          <w:sz w:val="20"/>
          <w:szCs w:val="20"/>
          <w:color w:val="auto"/>
        </w:rPr>
      </w:pPr>
    </w:p>
    <w:p>
      <w:pPr>
        <w:ind w:right="500" w:firstLine="648"/>
        <w:spacing w:after="0" w:line="329" w:lineRule="auto"/>
        <w:rPr>
          <w:sz w:val="20"/>
          <w:szCs w:val="20"/>
          <w:color w:val="auto"/>
        </w:rPr>
      </w:pPr>
      <w:r>
        <w:rPr>
          <w:rFonts w:ascii="Times New Roman" w:cs="Times New Roman" w:eastAsia="Times New Roman" w:hAnsi="Times New Roman"/>
          <w:sz w:val="18"/>
          <w:szCs w:val="18"/>
          <w:color w:val="auto"/>
        </w:rPr>
        <w:t>The annual board retainer and the annual audit committee chair retainer are payable quarterly in advance. No separate retainer is paid for an independent director’s serving as chair of the Compensation Committee or the Nominating and Corporate Governance Committee.</w:t>
      </w:r>
    </w:p>
    <w:p>
      <w:pPr>
        <w:spacing w:after="0" w:line="94"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On an annual basis, each director is expected to receive restricted shares of Common Stock valued at $55,000 on the date of grant (based on the closing price of our Common Stock on the date of the grant). These shares vest on the anniversary of the grant if the grantee continues to serve as a director of the Company at such time.</w:t>
      </w:r>
    </w:p>
    <w:p>
      <w:pPr>
        <w:spacing w:after="0" w:line="108" w:lineRule="exact"/>
        <w:rPr>
          <w:sz w:val="20"/>
          <w:szCs w:val="20"/>
          <w:color w:val="auto"/>
        </w:rPr>
      </w:pPr>
    </w:p>
    <w:p>
      <w:pPr>
        <w:ind w:right="340" w:firstLine="648"/>
        <w:spacing w:after="0" w:line="329" w:lineRule="auto"/>
        <w:rPr>
          <w:sz w:val="20"/>
          <w:szCs w:val="20"/>
          <w:color w:val="auto"/>
        </w:rPr>
      </w:pPr>
      <w:r>
        <w:rPr>
          <w:rFonts w:ascii="Times New Roman" w:cs="Times New Roman" w:eastAsia="Times New Roman" w:hAnsi="Times New Roman"/>
          <w:sz w:val="18"/>
          <w:szCs w:val="18"/>
          <w:color w:val="auto"/>
        </w:rPr>
        <w:t>The compensation arrangement for each independent director in 2026 is expected to be substantially the same as the annualized compensation arrangement for the independent directors in 2025, which is set forth in the table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in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director compensation during the fiscal year ended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580" w:type="dxa"/>
            <w:vAlign w:val="bottom"/>
          </w:tcPr>
          <w:p>
            <w:pPr>
              <w:spacing w:after="0"/>
              <w:rPr>
                <w:sz w:val="16"/>
                <w:szCs w:val="16"/>
                <w:color w:val="auto"/>
              </w:rPr>
            </w:pPr>
          </w:p>
        </w:tc>
        <w:tc>
          <w:tcPr>
            <w:tcW w:w="23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5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4"/>
              </w:rPr>
              <w:t xml:space="preserve">Cash </w:t>
            </w:r>
            <w:r>
              <w:rPr>
                <w:rFonts w:ascii="Times New Roman" w:cs="Times New Roman" w:eastAsia="Times New Roman" w:hAnsi="Times New Roman"/>
                <w:sz w:val="21"/>
                <w:szCs w:val="21"/>
                <w:b w:val="1"/>
                <w:bCs w:val="1"/>
                <w:color w:val="auto"/>
                <w:w w:val="94"/>
                <w:vertAlign w:val="superscript"/>
              </w:rPr>
              <w:t>(1)</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4"/>
        </w:trPr>
        <w:tc>
          <w:tcPr>
            <w:tcW w:w="4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Douglas Bech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109,872</w:t>
            </w:r>
          </w:p>
        </w:tc>
        <w:tc>
          <w:tcPr>
            <w:tcW w:w="0" w:type="dxa"/>
            <w:vAlign w:val="bottom"/>
          </w:tcPr>
          <w:p>
            <w:pPr>
              <w:spacing w:after="0"/>
              <w:rPr>
                <w:sz w:val="1"/>
                <w:szCs w:val="1"/>
                <w:color w:val="auto"/>
              </w:rPr>
            </w:pPr>
          </w:p>
        </w:tc>
      </w:tr>
      <w:tr>
        <w:trPr>
          <w:trHeight w:val="310"/>
        </w:trPr>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John Hope Bryant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12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109,872</w:t>
            </w:r>
          </w:p>
        </w:tc>
        <w:tc>
          <w:tcPr>
            <w:tcW w:w="0" w:type="dxa"/>
            <w:vAlign w:val="bottom"/>
          </w:tcPr>
          <w:p>
            <w:pPr>
              <w:spacing w:after="0"/>
              <w:rPr>
                <w:sz w:val="1"/>
                <w:szCs w:val="1"/>
                <w:color w:val="auto"/>
              </w:rPr>
            </w:pPr>
          </w:p>
        </w:tc>
      </w:tr>
      <w:tr>
        <w:trPr>
          <w:trHeight w:val="310"/>
        </w:trPr>
        <w:tc>
          <w:tcPr>
            <w:tcW w:w="4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Marcie Edwards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109,872</w:t>
            </w:r>
          </w:p>
        </w:tc>
        <w:tc>
          <w:tcPr>
            <w:tcW w:w="0" w:type="dxa"/>
            <w:vAlign w:val="bottom"/>
          </w:tcPr>
          <w:p>
            <w:pPr>
              <w:spacing w:after="0"/>
              <w:rPr>
                <w:sz w:val="1"/>
                <w:szCs w:val="1"/>
                <w:color w:val="auto"/>
              </w:rPr>
            </w:pPr>
          </w:p>
        </w:tc>
      </w:tr>
      <w:tr>
        <w:trPr>
          <w:trHeight w:val="311"/>
        </w:trPr>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Elaine Wong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75,305</w:t>
            </w:r>
          </w:p>
        </w:tc>
        <w:tc>
          <w:tcPr>
            <w:tcW w:w="12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ind w:left="340" w:right="360" w:hanging="332"/>
        <w:spacing w:after="0" w:line="251"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$305 of cash compensation paid to each of Mr. Bech, Mr. Bryant, Ms. Edwards and Ms. Wong in respect of the cancellation of their 2025 restricted shares.</w:t>
      </w:r>
    </w:p>
    <w:p>
      <w:pPr>
        <w:ind w:left="340" w:right="80" w:hanging="332"/>
        <w:spacing w:after="0"/>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restricted shares for purposes of ASC Topic 718, Compensation—Stock Compensation. Each of Mr. Bech, Mr. Bryant, Ms. Edwards and Ms. Wong received a grant of 86 restricted shares of Common Stock on August 4, 2025. The grant date fair value of the restricted shares is based on the per share closing price of our Common Stock on August 4, 2025, which was $634.50. As of December 31, 2025, each of Mr. Bech, Mr. Bryant, Ms. Edwards and Ms. Wong held 86 unvested restricted shares of Common Stock. However, each of Mr. Bech, Mr. Bryant, Ms. Edwards and Ms. Wong’s 2025 restricted share awards were subsequently terminated and cancelled for cash consideration. Pursuant to applicable SEC rules, the grants are still required to be reported in this table.</w:t>
      </w:r>
    </w:p>
    <w:p>
      <w:pPr>
        <w:ind w:left="340" w:right="12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Kuba, Ressler and Shemesh did not receive any compensation (other than the reimbursement of expenses related to attending meetings of the Board and its committees) for their service as directors in the year ended December 31,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83" w:lineRule="exact"/>
        <w:rPr>
          <w:sz w:val="20"/>
          <w:szCs w:val="20"/>
          <w:color w:val="auto"/>
        </w:rPr>
      </w:pPr>
    </w:p>
    <w:p>
      <w:pPr>
        <w:ind w:right="40" w:firstLine="648"/>
        <w:spacing w:after="0" w:line="302" w:lineRule="auto"/>
        <w:rPr>
          <w:sz w:val="20"/>
          <w:szCs w:val="20"/>
          <w:color w:val="auto"/>
        </w:rPr>
      </w:pPr>
      <w:r>
        <w:rPr>
          <w:rFonts w:ascii="Times New Roman" w:cs="Times New Roman" w:eastAsia="Times New Roman" w:hAnsi="Times New Roman"/>
          <w:sz w:val="18"/>
          <w:szCs w:val="18"/>
          <w:color w:val="auto"/>
        </w:rPr>
        <w:t>If the Company were to grant equity awards to any named executive officers, the timing, terms and restrictions applicable to such grants would be determined by the Compensation Committee. We do not currently grant new awards of stock options, stock appreciation rights or similar option-like instruments. Accordingly, we do not have a specific policy or practice on the timing of such awards in relation to our disclosure of material nonpublic information. In the event we determine to grant such awards, we will evaluate the appropriate steps to take in relation to the foregoing.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83" w:lineRule="exact"/>
        <w:rPr>
          <w:sz w:val="20"/>
          <w:szCs w:val="20"/>
          <w:color w:val="auto"/>
        </w:rPr>
      </w:pPr>
    </w:p>
    <w:p>
      <w:pPr>
        <w:ind w:right="100" w:firstLine="648"/>
        <w:spacing w:after="0" w:line="302"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or sale of the Company’s securities by the Company’s directors, officers and employees, as well as the Company itself, that the Company believes is reasonably designed to promote compliance with insider trading laws, rules and regulations and Nasdaq listing standards. A copy of our insider trading policy is filed as Exhibit 19.1 to the Company’s Annual Report on Form 10-K for the year ended December 31,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16"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Set forth below are the names of the persons who are our executive officers as of the date hereof, their ages and their positions with the Company. Each executive officer will serve until his successor is duly appointed, or until his earlier death, resignation or removal from office. As previously disclosed, effective January 21, 2026, Barry N. Berlin resigned from his roles with the Company as an Executive Vice President, Chief Financial Officer, Treasurer and Secretary, and Brandon Hill was appointed as Chief Financial Officer and Treasurer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Thompson</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76"/>
        </w:trPr>
        <w:tc>
          <w:tcPr>
            <w:tcW w:w="7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Brandon Hill</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5"/>
                <w:szCs w:val="15"/>
                <w:color w:val="auto"/>
              </w:rPr>
            </w:pPr>
          </w:p>
        </w:tc>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and</w:t>
            </w:r>
          </w:p>
        </w:tc>
      </w:tr>
      <w:tr>
        <w:trPr>
          <w:trHeight w:val="239"/>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Treasurer</w:t>
            </w:r>
          </w:p>
        </w:tc>
      </w:tr>
      <w:tr>
        <w:trPr>
          <w:trHeight w:val="234"/>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Shaul Kuba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Investment Officer</w:t>
            </w:r>
          </w:p>
        </w:tc>
      </w:tr>
    </w:tbl>
    <w:p>
      <w:pPr>
        <w:spacing w:after="0" w:line="329" w:lineRule="exact"/>
        <w:rPr>
          <w:sz w:val="20"/>
          <w:szCs w:val="20"/>
          <w:color w:val="auto"/>
        </w:rPr>
      </w:pPr>
    </w:p>
    <w:p>
      <w:pPr>
        <w:jc w:val="both"/>
        <w:ind w:right="200" w:firstLine="648"/>
        <w:spacing w:after="0" w:line="305" w:lineRule="auto"/>
        <w:rPr>
          <w:sz w:val="20"/>
          <w:szCs w:val="20"/>
          <w:color w:val="auto"/>
        </w:rPr>
      </w:pPr>
      <w:r>
        <w:rPr>
          <w:rFonts w:ascii="Times New Roman" w:cs="Times New Roman" w:eastAsia="Times New Roman" w:hAnsi="Times New Roman"/>
          <w:sz w:val="17"/>
          <w:szCs w:val="17"/>
          <w:b w:val="1"/>
          <w:bCs w:val="1"/>
          <w:color w:val="auto"/>
        </w:rPr>
        <w:t xml:space="preserve">David Thompson </w:t>
      </w:r>
      <w:r>
        <w:rPr>
          <w:rFonts w:ascii="Times New Roman" w:cs="Times New Roman" w:eastAsia="Times New Roman" w:hAnsi="Times New Roman"/>
          <w:sz w:val="17"/>
          <w:szCs w:val="17"/>
          <w:color w:val="auto"/>
        </w:rPr>
        <w:t>has been Chief Executive Officer of the Company since March 2019. Mr. Thompson served as the Chief Financial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from March 2014 to March 2019. Mr. Thompson is also a Principal, Chief Financial Officer of CIM Group, L.P. and serves on CIM Group, L.P.’s Investment and Valuation Committees. He also served on the CIM Group, L.P. Investment Committee Credit Sub-Committee. In addition, Mr.</w:t>
      </w:r>
    </w:p>
    <w:p>
      <w:pPr>
        <w:spacing w:after="0" w:line="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auto"/>
        </w:rPr>
        <w:t>Thompson has served as the Chief Executive Officer and Trustee of CIM Real Assets &amp; Credit Fund, a closed-ended interval fund that seeks to invest in a mix of institutional-quality real estate and credit assets, since February 2019. In February 2024, Mr. Thompson was elected as a Trustee of CIM Commercial Lending REIT, a subsidiary of a public, non-listed REIT, CIM Real Estate Finance Trust, Inc., which is managed by an affiliate of CIM Group, L.P. Prior to joining CIM Group, L.P. in 2009, Mr. Thompson spent 15 years with Hilton Hotels Corporation, most recently as Senior Vice President and Controller, where he was responsible for worldwide financial reporting, financial planning and analysis, internal control and technical accounting compliance. Mr. Thompson’s experience includes billions of dollars of real estate acquisitions and dispositions in the office, retail, multifamily, hotel, gaming and timeshare sectors, as well as significant capital markets experience. Mr. Thompson began his career as a CPA in the Los Angeles office of Arthur Andersen &amp; Co. Mr. Thompson received a B.S. degree in Accounting from the University of Southern California.</w:t>
      </w:r>
    </w:p>
    <w:p>
      <w:pPr>
        <w:spacing w:after="0" w:line="202" w:lineRule="exact"/>
        <w:rPr>
          <w:sz w:val="20"/>
          <w:szCs w:val="20"/>
          <w:color w:val="auto"/>
        </w:rPr>
      </w:pPr>
    </w:p>
    <w:p>
      <w:pPr>
        <w:ind w:right="100"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Brandon Hill </w:t>
      </w:r>
      <w:r>
        <w:rPr>
          <w:rFonts w:ascii="Times New Roman" w:cs="Times New Roman" w:eastAsia="Times New Roman" w:hAnsi="Times New Roman"/>
          <w:sz w:val="18"/>
          <w:szCs w:val="18"/>
          <w:color w:val="auto"/>
        </w:rPr>
        <w:t>has been Chief Financial Officer and Treasurer of the Company since January 2026. Mr. Hill is also the 1st Vice President,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&amp; Reporting of CIM Group, L.P. and has over 15 years of experience in various accounting roles. He joined CIM Group, L.P. in 2018. Prior to joining CIM Group, L.P., Mr. Hill served as the Director – Accounting of VEREIT, Inc., a real estate investment trust that later merged into Realty Income (NYSE: “O”). Mr. Hill has experience with and is responsible for financial reporting, accounting, related internal controls, and SEC filings. Mr. Hill began his career as a CPA in the Arizona office of Deloitte. Mr. Hill received a B.S. and M.S. degree in Accounting from the W.P. Carey School of Business – Arizona State University.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Shaul Kuba’s biographical information is set forth above under “Director Nominees.”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7" w:lineRule="exact"/>
        <w:rPr>
          <w:sz w:val="20"/>
          <w:szCs w:val="20"/>
          <w:color w:val="auto"/>
        </w:rPr>
      </w:pPr>
    </w:p>
    <w:p>
      <w:pPr>
        <w:ind w:right="120" w:firstLine="648"/>
        <w:spacing w:after="0" w:line="298"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of the Audit Committee shall not be deemed incorporated by reference in any filing under the Securities Act of 1933, as amended, or the Securities Exchange Act of 1934, as amended (the “Exchange Act”), whether made before or after the date hereof and irrespective of any general incorporation language in any such filing (except to the extent that we specifically incorporate this information by reference) and shall not otherwise be deemed “soliciting material” or “filed” with the SEC or subject to Regulation 14A or 14C, or to the liabilities of Section 18 of the Exchange Act (except to the extent that we specifically incorporate this information by reference).</w:t>
      </w:r>
    </w:p>
    <w:p>
      <w:pPr>
        <w:spacing w:after="0" w:line="121"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The Audit Committee (the “Audit Committee”) of the Board of Directors (the “Board”) of Creative Media &amp; Community Trust Corporation, a Maryland corporation (the “Company”), operates under a written charter adopted by the Board. The Audit Committee reviews and assesses the adequacy of its charter on an annual basis. The Audit Committee charter is available on the corporate governance section of the Company’s website at </w:t>
      </w:r>
      <w:r>
        <w:rPr>
          <w:rFonts w:ascii="Times New Roman" w:cs="Times New Roman" w:eastAsia="Times New Roman" w:hAnsi="Times New Roman"/>
          <w:sz w:val="18"/>
          <w:szCs w:val="18"/>
          <w:u w:val="single" w:color="auto"/>
          <w:color w:val="0000FF"/>
        </w:rPr>
        <w:t>https://shareholders.creativemediacommunity.com/corporate-overview/corporate-governance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section entitled “Committee Charters.”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is not incorporated by reference into this proxy statement.</w:t>
      </w:r>
    </w:p>
    <w:p>
      <w:pPr>
        <w:spacing w:after="0" w:line="137" w:lineRule="exact"/>
        <w:rPr>
          <w:sz w:val="20"/>
          <w:szCs w:val="20"/>
          <w:color w:val="auto"/>
        </w:rPr>
      </w:pPr>
    </w:p>
    <w:p>
      <w:pPr>
        <w:ind w:right="40" w:firstLine="648"/>
        <w:spacing w:after="0" w:line="305" w:lineRule="auto"/>
        <w:rPr>
          <w:sz w:val="20"/>
          <w:szCs w:val="20"/>
          <w:color w:val="auto"/>
        </w:rPr>
      </w:pPr>
      <w:r>
        <w:rPr>
          <w:rFonts w:ascii="Times New Roman" w:cs="Times New Roman" w:eastAsia="Times New Roman" w:hAnsi="Times New Roman"/>
          <w:sz w:val="18"/>
          <w:szCs w:val="18"/>
          <w:color w:val="auto"/>
        </w:rPr>
        <w:t>During 2025, the Audit Committee, either through separate private sessions or during its regularly scheduled meetings with the independent registered public accounting firm and the director of internal audit, had candid discussions regarding financial management, legal, accounting, auditing and internal control issues.</w:t>
      </w:r>
    </w:p>
    <w:p>
      <w:pPr>
        <w:spacing w:after="0" w:line="129"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The Audit Committee has been provided with updates on management’s process to assess the adequacy of the Company’s system of internal control over financial reporting, the framework used to make the assessment and management’s conclusions on the effectiveness of the Company’s internal control over financial reporting. The updates include discussions with the independent registered public accounting firm about the Company’s internal control assessment process and the independent registered public accounting firm’s evaluation of the Company’s system of internal control over financial reporting.</w:t>
      </w:r>
    </w:p>
    <w:p>
      <w:pPr>
        <w:spacing w:after="0" w:line="123" w:lineRule="exact"/>
        <w:rPr>
          <w:sz w:val="20"/>
          <w:szCs w:val="20"/>
          <w:color w:val="auto"/>
        </w:rPr>
      </w:pPr>
    </w:p>
    <w:p>
      <w:pPr>
        <w:ind w:right="60" w:firstLine="648"/>
        <w:spacing w:after="0" w:line="329" w:lineRule="auto"/>
        <w:rPr>
          <w:sz w:val="20"/>
          <w:szCs w:val="20"/>
          <w:color w:val="auto"/>
        </w:rPr>
      </w:pPr>
      <w:r>
        <w:rPr>
          <w:rFonts w:ascii="Times New Roman" w:cs="Times New Roman" w:eastAsia="Times New Roman" w:hAnsi="Times New Roman"/>
          <w:sz w:val="18"/>
          <w:szCs w:val="18"/>
          <w:color w:val="auto"/>
        </w:rPr>
        <w:t>The Audit Committee reviewed with executive management and the director of internal audit the Company’s policies and procedures with respect to risk assessment and risk management.</w:t>
      </w:r>
    </w:p>
    <w:p>
      <w:pPr>
        <w:spacing w:after="0" w:line="94"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Audit Committee recommended to the Board the engagement of Deloitte as the independent registered public accounting firm for the year ended December 31, 2026, and reviewed (with senior members of the Company’s financial management team and the independent registered public accounting firm) the overall audit scope and plans, the results of internal and external audit examinations, evaluations by management and the independent registered public accounting firm of the Company’s internal controls over financial reporting and the quality of the Company’s financial reporting. The Audit Committee has the sole authority to appoint the independent registered public accounting firm.</w:t>
      </w:r>
    </w:p>
    <w:p>
      <w:pPr>
        <w:spacing w:after="0" w:line="96" w:lineRule="exact"/>
        <w:rPr>
          <w:sz w:val="20"/>
          <w:szCs w:val="20"/>
          <w:color w:val="auto"/>
        </w:rPr>
      </w:pPr>
    </w:p>
    <w:p>
      <w:pPr>
        <w:ind w:right="100" w:firstLine="648"/>
        <w:spacing w:after="0" w:line="258" w:lineRule="exact"/>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 management including a discussion of the accounting principles, the reasonableness of significant accounting judgments and estimates, and the clarity of disclosures in the financial statements.</w:t>
      </w:r>
    </w:p>
    <w:p>
      <w:pPr>
        <w:spacing w:after="0" w:line="1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Audit Committee also discussed with the independent registered public accounting firm, who is engaged to audit and report on the</w:t>
      </w:r>
    </w:p>
    <w:p>
      <w:pPr>
        <w:spacing w:after="0" w:line="3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consolidated financial statements of the Company and subsidiaries and the effectiveness of the Company’s internal control over financial reporting, those matters required to be discussed by the auditors with the Audit Committee by the applicable requirements of the Public Company Accounting Oversight Board (the “PCAOB”) and the SEC. The Audit Committee has received the written disclosures and the letter from the independent accountant required by the applicable requirements of the PCAOB regarding the independent accountant’s communications with the Audit Committee concerning independence, and has discussed with the independent accountant the independent accountant’s independence for 2025.</w:t>
      </w:r>
    </w:p>
    <w:p>
      <w:pPr>
        <w:spacing w:after="0" w:line="137" w:lineRule="exact"/>
        <w:rPr>
          <w:sz w:val="20"/>
          <w:szCs w:val="20"/>
          <w:color w:val="auto"/>
        </w:rPr>
      </w:pPr>
    </w:p>
    <w:p>
      <w:pPr>
        <w:ind w:firstLine="648"/>
        <w:spacing w:after="0" w:line="245" w:lineRule="exact"/>
        <w:rPr>
          <w:sz w:val="20"/>
          <w:szCs w:val="20"/>
          <w:color w:val="auto"/>
        </w:rPr>
      </w:pPr>
      <w:r>
        <w:rPr>
          <w:rFonts w:ascii="Times New Roman" w:cs="Times New Roman" w:eastAsia="Times New Roman" w:hAnsi="Times New Roman"/>
          <w:sz w:val="18"/>
          <w:szCs w:val="18"/>
          <w:color w:val="auto"/>
        </w:rPr>
        <w:t>In performing all of these functions, the Audit Committee acts in an oversight capacity. The Audit Committee reviews the Company’s quarterly and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prior to filing with the SEC. In its oversight role, the Audit Committee relies on the work and assurances of the Company’s management, which has the primary responsibility for establishing and maintaining adequate internal control over financial reporting and for preparing the financial statements, and other reports.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p>
      <w:pPr>
        <w:ind w:firstLine="648"/>
        <w:spacing w:after="0" w:line="245" w:lineRule="exact"/>
        <w:rPr>
          <w:sz w:val="20"/>
          <w:szCs w:val="20"/>
          <w:color w:val="auto"/>
        </w:rPr>
      </w:pPr>
      <w:r>
        <w:rPr>
          <w:rFonts w:ascii="Times New Roman" w:cs="Times New Roman" w:eastAsia="Times New Roman" w:hAnsi="Times New Roman"/>
          <w:sz w:val="18"/>
          <w:szCs w:val="18"/>
          <w:color w:val="auto"/>
        </w:rPr>
        <w:t>In reliance on these reviews and discussions, and the reports of the independent registered public accounting firm, the Audit Committee has recommended to the Board that the audited financial statements be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for filing with the SEC.</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submitted by the following members of the Audit Committee:</w:t>
      </w:r>
    </w:p>
    <w:p>
      <w:pPr>
        <w:spacing w:after="0" w:line="2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Elaine Wong, Chair</w:t>
      </w:r>
    </w:p>
    <w:p>
      <w:pPr>
        <w:spacing w:after="0" w:line="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John Hope Bryant</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Marcie Edwards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066" w:right="8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Compensation Discussion and Analysis relates to compensation paid to the Company’s named executive officers during fiscal year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Named Executive Officers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individuals were our named executive officers during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26"/>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Thompson</w:t>
            </w:r>
          </w:p>
        </w:tc>
        <w:tc>
          <w:tcPr>
            <w:tcW w:w="10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76"/>
        </w:trPr>
        <w:tc>
          <w:tcPr>
            <w:tcW w:w="7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Barry N. Berlin </w:t>
            </w:r>
            <w:r>
              <w:rPr>
                <w:rFonts w:ascii="Times New Roman" w:cs="Times New Roman" w:eastAsia="Times New Roman" w:hAnsi="Times New Roman"/>
                <w:sz w:val="20"/>
                <w:szCs w:val="20"/>
                <w:color w:val="auto"/>
                <w:vertAlign w:val="superscript"/>
              </w:rPr>
              <w:t>(1)</w:t>
            </w: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7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Treasurer</w:t>
            </w:r>
          </w:p>
        </w:tc>
      </w:tr>
    </w:tbl>
    <w:p>
      <w:pPr>
        <w:spacing w:after="0" w:line="62"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s previously disclosed, Mr. Berlin resigned from his roles with the Company effective January 21, 2026.</w:t>
      </w:r>
    </w:p>
    <w:p>
      <w:pPr>
        <w:spacing w:after="0" w:line="242"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The Company is externally operated by the Operator (as defined below), an affiliate of CIM Group, L.P. In addition, CIM Service Provider, LLC (the “Administrator”), a subsidiary of CIM Group, L.P., provides certain administrative services to the Company and its subsidiaries. Mr. Thompson, our chief executive officer is employed by an affiliate of the Operator and the Administrator and his compensation is determined by, and paid to him directly by, such affiliate. The Company did not pay Mr. Thompson any compensation in 2025 and 2024. Therefore, the compensation of Mr. Thompson is not discussed in this Compensation Discussion and Analysis.</w:t>
      </w:r>
    </w:p>
    <w:p>
      <w:pPr>
        <w:spacing w:after="0" w:line="189"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Mr. Berlin was appointed chief financial officer and secretary of the Company on August 10, 2022. While Mr. Berlin had an employment agreement with the Company as described below under “—Potential Payments Upon Termination or Change in Control,” Mr. Berlin was jointly employed by the Company and an affiliate of the Operator and the Administrator. In each of 2025 and 2024, Mr. Berlin’s compensation was paid by an affiliate of the Operator and the Administrator. Such affiliate was then reimbursed by the Company. In each of 2025 and 2024, the amount of the reimbursement was based on Mr. Berlin’s time spent working on matters pertaining to the lending business of the Company. In each of 2025 and 2024, such affiliate did not seek reimbursement from the Company for the time that Mr. Berlin spent in his role as Chief Financial Officer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 and the Board in the Compensation Setting Process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of the Company and the Board had no role in setting the compensation of Mr. Berlin.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w:t>
      </w:r>
    </w:p>
    <w:p>
      <w:pPr>
        <w:spacing w:after="0" w:line="297" w:lineRule="exact"/>
        <w:rPr>
          <w:sz w:val="20"/>
          <w:szCs w:val="20"/>
          <w:color w:val="auto"/>
        </w:rPr>
      </w:pPr>
    </w:p>
    <w:p>
      <w:pPr>
        <w:ind w:right="620" w:firstLine="648"/>
        <w:spacing w:after="0" w:line="313" w:lineRule="auto"/>
        <w:rPr>
          <w:sz w:val="20"/>
          <w:szCs w:val="20"/>
          <w:color w:val="auto"/>
        </w:rPr>
      </w:pPr>
      <w:r>
        <w:rPr>
          <w:rFonts w:ascii="Times New Roman" w:cs="Times New Roman" w:eastAsia="Times New Roman" w:hAnsi="Times New Roman"/>
          <w:sz w:val="18"/>
          <w:szCs w:val="18"/>
          <w:color w:val="auto"/>
        </w:rPr>
        <w:t>Because stockholders expressed support for the Company’s executive compensation programs in 2025 by approving such programs, on an advisory basis, the Compensation Committee did not make any changes to the Company’s executive compensation programs in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Policies and Practices in Relation to Risk Management</w:t>
      </w:r>
    </w:p>
    <w:p>
      <w:pPr>
        <w:spacing w:after="0" w:line="283" w:lineRule="exact"/>
        <w:rPr>
          <w:sz w:val="20"/>
          <w:szCs w:val="20"/>
          <w:color w:val="auto"/>
        </w:rPr>
      </w:pPr>
    </w:p>
    <w:p>
      <w:pPr>
        <w:ind w:right="20" w:firstLine="648"/>
        <w:spacing w:after="0" w:line="302" w:lineRule="auto"/>
        <w:rPr>
          <w:sz w:val="20"/>
          <w:szCs w:val="20"/>
          <w:color w:val="auto"/>
        </w:rPr>
      </w:pPr>
      <w:r>
        <w:rPr>
          <w:rFonts w:ascii="Times New Roman" w:cs="Times New Roman" w:eastAsia="Times New Roman" w:hAnsi="Times New Roman"/>
          <w:sz w:val="18"/>
          <w:szCs w:val="18"/>
          <w:color w:val="auto"/>
        </w:rPr>
        <w:t>As of December 31, 2025, the Company had five employees. Four of such employees were in the Company’s lending segment while one employee spent a substantial portion of the time that he devoted to the Company on matters relating to the lending segment. As of the date of this proxy statement, we have no employees. Accordingly, the Compensation Committee does not believe that the Company’s compensation policies and practices are reasonably likely to have a material adverse effect on the Company.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Independent Compensation Consultant</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did not engage the services of an independent compensation consultant in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2025 Executive Compensation</w:t>
      </w:r>
    </w:p>
    <w:p>
      <w:pPr>
        <w:spacing w:after="0" w:line="283"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As described above, Mr. Thompson is employed and paid by an affiliate of the Operator and the Administrator and did not receive any compensation from the Company. Therefore, his compensation is not discussed herein. In each of 2025 and 2024, as described above under “—2025 Named Executive Officers,” Mr. Berlin’s compensation that was attributable to the time that he spent in his role as chief financial officer of the Company was not borne by the Company but by an affiliate of the Operator and the Administrator. Accordingly, the Board did not play a role in determining Mr. Berlin’s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b w:val="1"/>
          <w:bCs w:val="1"/>
          <w:i w:val="1"/>
          <w:iCs w:val="1"/>
          <w:color w:val="auto"/>
        </w:rPr>
        <w:t>Base Salary and Annual Cash Incentive</w:t>
      </w:r>
    </w:p>
    <w:p>
      <w:pPr>
        <w:spacing w:after="0" w:line="2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Mr. Berlin’s compensation that was attributable to the time that he spent in his role as chief financial officer of the Company was not borne by the Company but by an affiliate of the Operator and the Administrator as described above under “—2025 Named Executive Officers.” Accordingly, the Board did not play a role in determining Mr. Berlin’s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283"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Mr. Berlin’s employment agreement with the Company provided for a severance payment as specified therein and as described below. In connection with Mr. Berlin’s resignation, on November 6, 2025, the Company, CIM Group, L.P., CIM SBA Staffing, LLC (“CIM SBA Staffing”) and Mr. Berlin entered into a Separation Agreement and General Mutual Release of all Claims (the “Separation Agreement”). Pursuant to the Separation Agreement, Mr. Berlin received from the Company (i) a severance payment of $350,000 and (ii) an additional payment of $250,000, and CIM Group, L.P. purchased 1,980.983 of Mr. Berlin’s vested shares of CMFT. Additionally, pursuant to the Separation Agreement, Mr. Berlin and CIM SBA Staffing have agreed to a mutual general release of claims.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Revenue Code Section 162(m) generally limits the deductibility of compensation paid to certain executive officers in excess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in any one year. The Compensation Committee was aware of the impact of Internal Revenue Code Section 162(m), but our named executive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did not receive compensation from the Company in excess of the $1,000,000 limit. The Compensation Committee will continue to consider the tax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when determining named executive officer compensation. As in the past, the Board, upon the recommendation of the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reserves the right to make compensation payments that are nondeductible.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Restrictions</w:t>
      </w:r>
    </w:p>
    <w:p>
      <w:pPr>
        <w:spacing w:after="0" w:line="283" w:lineRule="exact"/>
        <w:rPr>
          <w:sz w:val="20"/>
          <w:szCs w:val="20"/>
          <w:color w:val="auto"/>
        </w:rPr>
      </w:pPr>
    </w:p>
    <w:p>
      <w:pPr>
        <w:ind w:right="20" w:firstLine="648"/>
        <w:spacing w:after="0" w:line="294" w:lineRule="auto"/>
        <w:rPr>
          <w:sz w:val="20"/>
          <w:szCs w:val="20"/>
          <w:color w:val="auto"/>
        </w:rPr>
      </w:pPr>
      <w:r>
        <w:rPr>
          <w:rFonts w:ascii="Times New Roman" w:cs="Times New Roman" w:eastAsia="Times New Roman" w:hAnsi="Times New Roman"/>
          <w:sz w:val="18"/>
          <w:szCs w:val="18"/>
          <w:color w:val="auto"/>
        </w:rPr>
        <w:t>The Company believes it is inappropriate for any director, officer or employee of the Company to enter into speculative transactions in the Company’s equity securities. The Company’s Trading Policy prohibits all such persons, and members of their households or immediate family (spouse and minor children), from engaging in all speculative financial transactions involving securities of the Company, including buying and selling put and call options or engaging in short selling, and hedging transactions with respect to securities of the Company, including purchasing financial instruments or entering into transactions (such as prepaid variable forward contracts, equity swaps, collars and exchange funds) designed to hedge or offset any decrease in the market value of equity securities of the Company. Holding and exercising options or other securities granted under any equity incentive plan of the Company are not prohibited by the Company’s Trading Policy.</w:t>
      </w:r>
    </w:p>
    <w:p>
      <w:pPr>
        <w:spacing w:after="0" w:line="223" w:lineRule="exact"/>
        <w:rPr>
          <w:sz w:val="20"/>
          <w:szCs w:val="20"/>
          <w:color w:val="auto"/>
        </w:rPr>
      </w:pPr>
    </w:p>
    <w:p>
      <w:pPr>
        <w:ind w:right="200" w:firstLine="648"/>
        <w:spacing w:after="0" w:line="313" w:lineRule="auto"/>
        <w:rPr>
          <w:sz w:val="20"/>
          <w:szCs w:val="20"/>
          <w:color w:val="auto"/>
        </w:rPr>
      </w:pPr>
      <w:r>
        <w:rPr>
          <w:rFonts w:ascii="Times New Roman" w:cs="Times New Roman" w:eastAsia="Times New Roman" w:hAnsi="Times New Roman"/>
          <w:sz w:val="18"/>
          <w:szCs w:val="18"/>
          <w:color w:val="auto"/>
        </w:rPr>
        <w:t>Additionally, the Company’s Trading Policy permits pledging of securities of the Company only with the approval of an attorney designated by the Company.</w:t>
      </w:r>
    </w:p>
    <w:p>
      <w:pPr>
        <w:sectPr>
          <w:pgSz w:w="11900" w:h="16838" w:orient="portrait"/>
          <w:cols w:equalWidth="0" w:num="1">
            <w:col w:w="11180"/>
          </w:cols>
          <w:pgMar w:left="320" w:top="1143" w:right="3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83" w:lineRule="exact"/>
        <w:rPr>
          <w:sz w:val="20"/>
          <w:szCs w:val="20"/>
          <w:color w:val="auto"/>
        </w:rPr>
      </w:pPr>
    </w:p>
    <w:p>
      <w:pPr>
        <w:ind w:right="60" w:firstLine="648"/>
        <w:spacing w:after="0" w:line="302" w:lineRule="auto"/>
        <w:rPr>
          <w:sz w:val="20"/>
          <w:szCs w:val="20"/>
          <w:color w:val="auto"/>
        </w:rPr>
      </w:pPr>
      <w:r>
        <w:rPr>
          <w:rFonts w:ascii="Times New Roman" w:cs="Times New Roman" w:eastAsia="Times New Roman" w:hAnsi="Times New Roman"/>
          <w:sz w:val="18"/>
          <w:szCs w:val="18"/>
          <w:color w:val="auto"/>
        </w:rPr>
        <w:t>Our Compensation Committee is comprised of two of our independent directors. Neither of them (1) has at any time served as an officer or employee of the Company or (2) has or had any relationship requiring disclosure pursuant to the SEC’s rules regarding related party transactions (i.e., Item 404(a) of Regulation S-K). None of our executive officers has served as a director or member of the Compensation Committee of any entity that has one or more of its executive officers serving as a member of our Board or Compensation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95" w:lineRule="exact"/>
        <w:rPr>
          <w:sz w:val="20"/>
          <w:szCs w:val="20"/>
          <w:color w:val="auto"/>
        </w:rPr>
      </w:pPr>
    </w:p>
    <w:p>
      <w:pPr>
        <w:ind w:right="140" w:firstLine="648"/>
        <w:spacing w:after="0" w:line="306" w:lineRule="auto"/>
        <w:rPr>
          <w:sz w:val="20"/>
          <w:szCs w:val="20"/>
          <w:color w:val="auto"/>
        </w:rPr>
      </w:pPr>
      <w:r>
        <w:rPr>
          <w:rFonts w:ascii="Times New Roman" w:cs="Times New Roman" w:eastAsia="Times New Roman" w:hAnsi="Times New Roman"/>
          <w:sz w:val="18"/>
          <w:szCs w:val="18"/>
          <w:i w:val="1"/>
          <w:iCs w:val="1"/>
          <w:color w:val="auto"/>
        </w:rPr>
        <w:t>The Compensation Committee has furnished the following report. The information contained in this “Compensation Committee Report” is not to be deemed “soliciting material” or “filed” with the SEC, nor is such information to be incorporated by reference into any future filings under the Securities Act of 1933, as amended, or the Exchange Act, except to the extent that we specifically incorporate it by reference into such filings.</w:t>
      </w:r>
    </w:p>
    <w:p>
      <w:pPr>
        <w:spacing w:after="0" w:line="196"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The Compensation Committee has reviewed and discussed the above Compensation Discussion and Analysis with management. Based on such review and discussions, the Compensation Committee recommended to our Board that the Compensation Discussion and Analysis be included in this proxy statement.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Douglas Bech, Chairman</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Elaine Wong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2" w:lineRule="exact"/>
        <w:rPr>
          <w:sz w:val="20"/>
          <w:szCs w:val="20"/>
          <w:color w:val="auto"/>
        </w:rPr>
      </w:pPr>
    </w:p>
    <w:p>
      <w:pPr>
        <w:ind w:right="160" w:firstLine="648"/>
        <w:spacing w:after="0" w:line="318" w:lineRule="auto"/>
        <w:rPr>
          <w:sz w:val="20"/>
          <w:szCs w:val="20"/>
          <w:color w:val="auto"/>
        </w:rPr>
      </w:pPr>
      <w:r>
        <w:rPr>
          <w:rFonts w:ascii="Times New Roman" w:cs="Times New Roman" w:eastAsia="Times New Roman" w:hAnsi="Times New Roman"/>
          <w:sz w:val="18"/>
          <w:szCs w:val="18"/>
          <w:color w:val="auto"/>
        </w:rPr>
        <w:t>The table below sets forth information concerning compensation of each of our named executive officers for the years ended December 31, 2025 and, 2024, respectively. As described in the Compensation Discussion and Analysis, Mr. Thompson is employed by an affiliate of the Operator and the Administrator and his compensation is determined by, and paid to him directly by, such affiliate. The Company did not pay Mr. Thompson any compensation in 2025 or 2024.</w:t>
      </w:r>
    </w:p>
    <w:p>
      <w:pPr>
        <w:spacing w:after="0" w:line="172"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Mr. Berlin was jointly employed by the Company and an affiliate of the Operator and the Administrator. Mr. Berlin had an employment agreement with the Company, which agreement is described below under “—Potential Payments Upon Termination or Change in Control.” Mr. Berlin became the chief financial officer and secretary of the Company in August 2022. In each of 2025 and 2024, Mr. Berlin’s compensation was paid by an affiliate of the Operator and the Administrator. Such affiliate was then reimbursed by the Company based on Mr. Berlin’s time spent working on matters pertaining to the lending business of the Company. The amount of such reimbursement is provided in the table below.</w:t>
      </w:r>
    </w:p>
    <w:tbl>
      <w:tblPr>
        <w:tblLayout w:type="fixed"/>
        <w:tblInd w:w="0" w:type="dxa"/>
        <w:tblCellMar>
          <w:top w:w="0" w:type="dxa"/>
          <w:left w:w="0" w:type="dxa"/>
          <w:bottom w:w="0" w:type="dxa"/>
          <w:right w:w="0" w:type="dxa"/>
        </w:tblCellMar>
      </w:tblPr>
      <w:tr>
        <w:trPr>
          <w:trHeight w:val="19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16"/>
                <w:szCs w:val="16"/>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16"/>
                <w:szCs w:val="16"/>
                <w:color w:val="auto"/>
              </w:rPr>
            </w:pPr>
          </w:p>
        </w:tc>
        <w:tc>
          <w:tcPr>
            <w:tcW w:w="10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320" w:type="dxa"/>
            <w:vAlign w:val="bottom"/>
          </w:tcPr>
          <w:p>
            <w:pPr>
              <w:spacing w:after="0"/>
              <w:rPr>
                <w:sz w:val="16"/>
                <w:szCs w:val="16"/>
                <w:color w:val="auto"/>
              </w:rPr>
            </w:pPr>
          </w:p>
        </w:tc>
        <w:tc>
          <w:tcPr>
            <w:tcW w:w="1800" w:type="dxa"/>
            <w:vAlign w:val="bottom"/>
          </w:tcPr>
          <w:p>
            <w:pPr>
              <w:jc w:val="right"/>
              <w:ind w:right="590"/>
              <w:spacing w:after="0" w:line="192"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29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330"/>
              <w:spacing w:after="0" w:line="240"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3"/>
                <w:szCs w:val="23"/>
                <w:b w:val="1"/>
                <w:bCs w:val="1"/>
                <w:color w:val="auto"/>
                <w:vertAlign w:val="superscript"/>
              </w:rPr>
              <w:t>(2)</w:t>
            </w: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David Thompson</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9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Barry N. Berlin</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226,107</w:t>
            </w:r>
          </w:p>
        </w:tc>
        <w:tc>
          <w:tcPr>
            <w:tcW w:w="0" w:type="dxa"/>
            <w:vAlign w:val="bottom"/>
          </w:tcPr>
          <w:p>
            <w:pPr>
              <w:spacing w:after="0"/>
              <w:rPr>
                <w:sz w:val="1"/>
                <w:szCs w:val="1"/>
                <w:color w:val="auto"/>
              </w:rPr>
            </w:pPr>
          </w:p>
        </w:tc>
      </w:tr>
      <w:tr>
        <w:trPr>
          <w:trHeight w:val="234"/>
        </w:trPr>
        <w:tc>
          <w:tcPr>
            <w:tcW w:w="2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228,586</w:t>
            </w:r>
          </w:p>
        </w:tc>
        <w:tc>
          <w:tcPr>
            <w:tcW w:w="0" w:type="dxa"/>
            <w:vAlign w:val="bottom"/>
          </w:tcPr>
          <w:p>
            <w:pPr>
              <w:spacing w:after="0"/>
              <w:rPr>
                <w:sz w:val="1"/>
                <w:szCs w:val="1"/>
                <w:color w:val="auto"/>
              </w:rPr>
            </w:pPr>
          </w:p>
        </w:tc>
      </w:tr>
      <w:tr>
        <w:trPr>
          <w:trHeight w:val="76"/>
        </w:trPr>
        <w:tc>
          <w:tcPr>
            <w:tcW w:w="29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Secretary; Executive Vice President</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and Treasurer</w:t>
      </w:r>
      <w:r>
        <w:rPr>
          <w:rFonts w:ascii="Times New Roman" w:cs="Times New Roman" w:eastAsia="Times New Roman" w:hAnsi="Times New Roman"/>
          <w:sz w:val="23"/>
          <w:szCs w:val="23"/>
          <w:color w:val="auto"/>
          <w:vertAlign w:val="superscript"/>
        </w:rPr>
        <w:t>(1), (2)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04"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Mr. Berlin resigned from his roles with the Company effective January 21, 2026.</w:t>
      </w:r>
    </w:p>
    <w:p>
      <w:pPr>
        <w:spacing w:after="0" w:line="9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below for a breakdown of all other compensation.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compensation paid to the Company’s named executive officers in the table above consisted of the following:</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Unused Vacation</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Tax Qualified</w:t>
            </w:r>
          </w:p>
        </w:tc>
        <w:tc>
          <w:tcPr>
            <w:tcW w:w="16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Automobile</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60" w:type="dxa"/>
            <w:vAlign w:val="bottom"/>
            <w:gridSpan w:val="2"/>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Pay</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16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N. Berlin</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grants of equity or other plan-based awards to our named executive officers during 2025.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outstanding equity awards held by our named executive officers as of December 31, 2025.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 Exercises and Stock Vested in </w:t>
      </w:r>
      <w:r>
        <w:rPr>
          <w:rFonts w:ascii="Times New Roman" w:cs="Times New Roman" w:eastAsia="Times New Roman" w:hAnsi="Times New Roman"/>
          <w:sz w:val="18"/>
          <w:szCs w:val="18"/>
          <w:color w:val="auto"/>
        </w:rPr>
        <w:t>2025</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 equity awards that were exercised or vested with respect to our named executive officers during the fiscal year ended 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97" w:lineRule="exact"/>
        <w:rPr>
          <w:sz w:val="20"/>
          <w:szCs w:val="20"/>
          <w:color w:val="auto"/>
        </w:rPr>
      </w:pPr>
    </w:p>
    <w:p>
      <w:pPr>
        <w:ind w:right="240" w:firstLine="648"/>
        <w:spacing w:after="0" w:line="294" w:lineRule="auto"/>
        <w:rPr>
          <w:sz w:val="20"/>
          <w:szCs w:val="20"/>
          <w:color w:val="auto"/>
        </w:rPr>
      </w:pPr>
      <w:r>
        <w:rPr>
          <w:rFonts w:ascii="Times New Roman" w:cs="Times New Roman" w:eastAsia="Times New Roman" w:hAnsi="Times New Roman"/>
          <w:sz w:val="18"/>
          <w:szCs w:val="18"/>
          <w:color w:val="auto"/>
        </w:rPr>
        <w:t>Mr. Berlin was party to an executive employment agreement (an “Executive Employment Agreement”) with the Company, which became effective upon the consummation of a merger between the Company’s predecessor and a fund managed by an affiliate of the Operator and the Administrator on March 11, 2014. Under the Executive Employment Agreement, Mr. Berlin was entitled to a minimum annual salary of $350,000 (provided that, as discussed above under “—Summary Compensation Table,” Mr. Berlin’s compensation was paid by an affiliate of the Operator and the Administrator). The Executive Employment Agreement also entitled Mr. Berlin to health insurance coverage for himself, his wife and his dependent children, and a monthly automobile allowance of $550.</w:t>
      </w:r>
    </w:p>
    <w:p>
      <w:pPr>
        <w:spacing w:after="0" w:line="220" w:lineRule="exact"/>
        <w:rPr>
          <w:sz w:val="20"/>
          <w:szCs w:val="20"/>
          <w:color w:val="auto"/>
        </w:rPr>
      </w:pPr>
    </w:p>
    <w:p>
      <w:pPr>
        <w:ind w:right="60" w:firstLine="648"/>
        <w:spacing w:after="0" w:line="319" w:lineRule="auto"/>
        <w:rPr>
          <w:sz w:val="20"/>
          <w:szCs w:val="20"/>
          <w:color w:val="auto"/>
        </w:rPr>
      </w:pPr>
      <w:r>
        <w:rPr>
          <w:rFonts w:ascii="Times New Roman" w:cs="Times New Roman" w:eastAsia="Times New Roman" w:hAnsi="Times New Roman"/>
          <w:sz w:val="17"/>
          <w:szCs w:val="17"/>
          <w:color w:val="auto"/>
        </w:rPr>
        <w:t>If Mr. Berlin was unable to perform his services due to illness or total incapacity (to be determined based on standards similar to those utilized by the U.S. Social Security Administration), the Executive Employment Agreement entitled Mr. Berlin to receive his full salary for up to one year of such incapacity, reduced by any amounts paid by any Company-provided insurance. If Mr. Berlin’s total incapacity continued beyond one year and he was not thereafter able to devote full time to his employment with the Company, then his employment and his Executive Employment Agreement would terminate.</w:t>
      </w:r>
    </w:p>
    <w:p>
      <w:pPr>
        <w:spacing w:after="0" w:line="203"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If Mr. Berlin had died during his employment with the Company before reaching the age of seventy, his estate would have been entitled to a payment of two times his annual salary plus unused vacation pay. The Company-paid amount of such death benefits would have been made over the course of twelve months, and would be offset by any amounts paid under any group life insurance issued by the Company.</w:t>
      </w:r>
    </w:p>
    <w:p>
      <w:pPr>
        <w:spacing w:after="0" w:line="196"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18"/>
          <w:szCs w:val="18"/>
          <w:color w:val="auto"/>
        </w:rPr>
        <w:t>In the event that Mr. Berlin’s employment was terminated by the Company for Cause (as defined below), or if Mr. Berlin resigned his employment with the Company, he would have been entitled to receive only his base salary then in effect through the date of termination, and all benefits accrued through the date of termination. If the Company terminated Mr. Berlin’s employment without Cause, Mr. Berlin would have been entitled to receive a severance payment in an amount equal to his annual base salary then in effect, to be paid out in a lump sum on the 60th day following his termination date, conditioned upon the execution of a general release of claims.</w:t>
      </w:r>
    </w:p>
    <w:p>
      <w:pPr>
        <w:spacing w:after="0" w:line="201" w:lineRule="exact"/>
        <w:rPr>
          <w:sz w:val="20"/>
          <w:szCs w:val="20"/>
          <w:color w:val="auto"/>
        </w:rPr>
      </w:pPr>
    </w:p>
    <w:p>
      <w:pPr>
        <w:jc w:val="both"/>
        <w:ind w:right="200" w:firstLine="648"/>
        <w:spacing w:after="0" w:line="305" w:lineRule="auto"/>
        <w:rPr>
          <w:sz w:val="20"/>
          <w:szCs w:val="20"/>
          <w:color w:val="auto"/>
        </w:rPr>
      </w:pPr>
      <w:r>
        <w:rPr>
          <w:rFonts w:ascii="Times New Roman" w:cs="Times New Roman" w:eastAsia="Times New Roman" w:hAnsi="Times New Roman"/>
          <w:sz w:val="18"/>
          <w:szCs w:val="18"/>
          <w:color w:val="auto"/>
        </w:rPr>
        <w:t>For purposes of the Executive Employment Agreement, “Cause” meant (1) the intentional, unapproved material misuse of corporate funds, (2) professional incompetence or (3) acts or omissions constituting gross negligence or willful misconduct of executive’s obligations or otherwise relating to the business of the Company.</w:t>
      </w:r>
    </w:p>
    <w:p>
      <w:pPr>
        <w:spacing w:after="0" w:line="210"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8"/>
          <w:szCs w:val="18"/>
          <w:color w:val="auto"/>
        </w:rPr>
        <w:t>Assuming all vacation days are taken and all reasonable business expenses had been reimbursed, based on the Company’s best estimate, assuming the applicable scenario occurred on December 31, 2025, the Company would have owed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33" w:name="page34"/>
    <w:bookmarkEnd w:id="33"/>
    <w:p>
      <w:pPr>
        <w:ind w:right="40"/>
        <w:spacing w:after="0" w:line="313" w:lineRule="auto"/>
        <w:rPr>
          <w:sz w:val="20"/>
          <w:szCs w:val="20"/>
          <w:color w:val="auto"/>
        </w:rPr>
      </w:pPr>
      <w:r>
        <w:rPr>
          <w:rFonts w:ascii="Times New Roman" w:cs="Times New Roman" w:eastAsia="Times New Roman" w:hAnsi="Times New Roman"/>
          <w:sz w:val="18"/>
          <w:szCs w:val="18"/>
          <w:color w:val="auto"/>
        </w:rPr>
        <w:t>Mr. Berlin $700,000 (representing two times his annual base salary) if he died or $350,000 (representing his annual base salary) if he became disabled or if the Company terminated his employment without Cause.</w:t>
      </w:r>
    </w:p>
    <w:p>
      <w:pPr>
        <w:spacing w:after="0" w:line="203" w:lineRule="exact"/>
        <w:rPr>
          <w:sz w:val="20"/>
          <w:szCs w:val="20"/>
          <w:color w:val="auto"/>
        </w:rPr>
      </w:pPr>
    </w:p>
    <w:p>
      <w:pPr>
        <w:jc w:val="both"/>
        <w:ind w:right="160" w:firstLine="648"/>
        <w:spacing w:after="0" w:line="297" w:lineRule="auto"/>
        <w:rPr>
          <w:sz w:val="20"/>
          <w:szCs w:val="20"/>
          <w:color w:val="auto"/>
        </w:rPr>
      </w:pPr>
      <w:r>
        <w:rPr>
          <w:rFonts w:ascii="Times New Roman" w:cs="Times New Roman" w:eastAsia="Times New Roman" w:hAnsi="Times New Roman"/>
          <w:sz w:val="18"/>
          <w:szCs w:val="18"/>
          <w:color w:val="auto"/>
        </w:rPr>
        <w:t>As discussed above, in connection with Mr. Berlin’s resignation, on November 6, 2025, the Company, CIM Group, L.P., CIM SBA Staffing and Mr. Berlin entered into the Separation Agreement. Pursuant to the Separation Agreement, Mr. Berlin received from the Company (i) a severance payment of $350,000 and (ii) an additional payment of $250,000, and CIM Group, L.P. purchased 1,980.983 of Mr. Berlin’s vested shares of CMFT. Additionally, pursuant to the Separation Agreement, Mr. Berlin and CIM SBA Staffing have agreed to a mutual general release of claims.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83" w:lineRule="exact"/>
        <w:rPr>
          <w:sz w:val="20"/>
          <w:szCs w:val="20"/>
          <w:color w:val="auto"/>
        </w:rPr>
      </w:pPr>
    </w:p>
    <w:p>
      <w:pPr>
        <w:ind w:right="120" w:firstLine="648"/>
        <w:spacing w:after="0" w:line="296" w:lineRule="auto"/>
        <w:rPr>
          <w:sz w:val="20"/>
          <w:szCs w:val="20"/>
          <w:color w:val="auto"/>
        </w:rPr>
      </w:pPr>
      <w:r>
        <w:rPr>
          <w:rFonts w:ascii="Times New Roman" w:cs="Times New Roman" w:eastAsia="Times New Roman" w:hAnsi="Times New Roman"/>
          <w:sz w:val="18"/>
          <w:szCs w:val="18"/>
          <w:color w:val="auto"/>
        </w:rPr>
        <w:t>In accordance with the rules adopted by the SEC, pursuant to the Dodd-Frank Act, the following table and related disclosure provide information about (i) the “total compensation” of our principal executive officer (the “PEO”) and our other named executive officers (the “Other NEOs”) as presented in “—Summary Compensation Table” above (the “SCT Amounts”), (ii) the “compensation actually paid” to our PEO and our Other NEOs, as calculated pursuant to the SEC’s pay-versus-performance rules (the “CAP Amounts”) and (iii) certain financial performance measures.</w:t>
      </w: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6"/>
                <w:szCs w:val="16"/>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86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8"/>
                <w:szCs w:val="18"/>
                <w:b w:val="1"/>
                <w:bCs w:val="1"/>
                <w:color w:val="auto"/>
                <w:w w:val="99"/>
              </w:rPr>
              <w:t>Average Summary</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900" w:type="dxa"/>
            <w:vAlign w:val="bottom"/>
            <w:gridSpan w:val="2"/>
          </w:tcPr>
          <w:p>
            <w:pPr>
              <w:jc w:val="center"/>
              <w:ind w:right="240"/>
              <w:spacing w:after="0" w:line="190" w:lineRule="exact"/>
              <w:rPr>
                <w:sz w:val="20"/>
                <w:szCs w:val="20"/>
                <w:color w:val="auto"/>
              </w:rPr>
            </w:pPr>
            <w:r>
              <w:rPr>
                <w:rFonts w:ascii="Times New Roman" w:cs="Times New Roman" w:eastAsia="Times New Roman" w:hAnsi="Times New Roman"/>
                <w:sz w:val="18"/>
                <w:szCs w:val="18"/>
                <w:b w:val="1"/>
                <w:bCs w:val="1"/>
                <w:color w:val="auto"/>
                <w:w w:val="99"/>
              </w:rPr>
              <w:t>Value of Initial Fixed</w:t>
            </w:r>
          </w:p>
        </w:tc>
        <w:tc>
          <w:tcPr>
            <w:tcW w:w="140" w:type="dxa"/>
            <w:vAlign w:val="bottom"/>
          </w:tcPr>
          <w:p>
            <w:pPr>
              <w:spacing w:after="0"/>
              <w:rPr>
                <w:sz w:val="16"/>
                <w:szCs w:val="16"/>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9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$100 Investment</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5"/>
                <w:szCs w:val="15"/>
                <w:color w:val="auto"/>
              </w:rPr>
            </w:pPr>
          </w:p>
        </w:tc>
        <w:tc>
          <w:tcPr>
            <w:tcW w:w="15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9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Total for Other NEOs</w:t>
            </w:r>
          </w:p>
        </w:tc>
        <w:tc>
          <w:tcPr>
            <w:tcW w:w="14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20" w:type="dxa"/>
            <w:vAlign w:val="bottom"/>
          </w:tcPr>
          <w:p>
            <w:pPr>
              <w:spacing w:after="0"/>
              <w:rPr>
                <w:sz w:val="15"/>
                <w:szCs w:val="15"/>
                <w:color w:val="auto"/>
              </w:rPr>
            </w:pPr>
          </w:p>
        </w:tc>
        <w:tc>
          <w:tcPr>
            <w:tcW w:w="19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Based on Total</w:t>
            </w:r>
          </w:p>
        </w:tc>
        <w:tc>
          <w:tcPr>
            <w:tcW w:w="140" w:type="dxa"/>
            <w:vAlign w:val="bottom"/>
          </w:tcPr>
          <w:p>
            <w:pPr>
              <w:spacing w:after="0"/>
              <w:rPr>
                <w:sz w:val="15"/>
                <w:szCs w:val="15"/>
                <w:color w:val="auto"/>
              </w:rPr>
            </w:pPr>
          </w:p>
        </w:tc>
        <w:tc>
          <w:tcPr>
            <w:tcW w:w="11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(Loss) ($) in</w:t>
            </w:r>
          </w:p>
        </w:tc>
        <w:tc>
          <w:tcPr>
            <w:tcW w:w="0" w:type="dxa"/>
            <w:vAlign w:val="bottom"/>
          </w:tcPr>
          <w:p>
            <w:pPr>
              <w:spacing w:after="0"/>
              <w:rPr>
                <w:sz w:val="1"/>
                <w:szCs w:val="1"/>
                <w:color w:val="auto"/>
              </w:rPr>
            </w:pPr>
          </w:p>
        </w:tc>
      </w:tr>
      <w:tr>
        <w:trPr>
          <w:trHeight w:val="229"/>
        </w:trPr>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32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PEO ($)</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19"/>
                <w:szCs w:val="19"/>
                <w:color w:val="auto"/>
              </w:rPr>
            </w:pPr>
          </w:p>
        </w:tc>
        <w:tc>
          <w:tcPr>
            <w:tcW w:w="1540" w:type="dxa"/>
            <w:vAlign w:val="bottom"/>
            <w:gridSpan w:val="2"/>
          </w:tcPr>
          <w:p>
            <w:pPr>
              <w:jc w:val="center"/>
              <w:ind w:right="26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PEO ($)</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19"/>
                <w:szCs w:val="19"/>
                <w:color w:val="auto"/>
              </w:rPr>
            </w:pPr>
          </w:p>
        </w:tc>
        <w:tc>
          <w:tcPr>
            <w:tcW w:w="1720" w:type="dxa"/>
            <w:vAlign w:val="bottom"/>
          </w:tcPr>
          <w:p>
            <w:pPr>
              <w:jc w:val="center"/>
              <w:ind w:right="10"/>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40" w:type="dxa"/>
            <w:vAlign w:val="bottom"/>
          </w:tcPr>
          <w:p>
            <w:pPr>
              <w:spacing w:after="0"/>
              <w:rPr>
                <w:sz w:val="19"/>
                <w:szCs w:val="19"/>
                <w:color w:val="auto"/>
              </w:rPr>
            </w:pPr>
          </w:p>
        </w:tc>
        <w:tc>
          <w:tcPr>
            <w:tcW w:w="1680" w:type="dxa"/>
            <w:vAlign w:val="bottom"/>
            <w:gridSpan w:val="3"/>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7"/>
              </w:rPr>
              <w:t>Other NEOs ($)</w:t>
            </w:r>
            <w:r>
              <w:rPr>
                <w:rFonts w:ascii="Times New Roman" w:cs="Times New Roman" w:eastAsia="Times New Roman" w:hAnsi="Times New Roman"/>
                <w:sz w:val="23"/>
                <w:szCs w:val="23"/>
                <w:b w:val="1"/>
                <w:bCs w:val="1"/>
                <w:color w:val="auto"/>
                <w:w w:val="97"/>
                <w:vertAlign w:val="superscript"/>
              </w:rPr>
              <w:t>(3)</w:t>
            </w:r>
          </w:p>
        </w:tc>
        <w:tc>
          <w:tcPr>
            <w:tcW w:w="120" w:type="dxa"/>
            <w:vAlign w:val="bottom"/>
          </w:tcPr>
          <w:p>
            <w:pPr>
              <w:spacing w:after="0"/>
              <w:rPr>
                <w:sz w:val="19"/>
                <w:szCs w:val="19"/>
                <w:color w:val="auto"/>
              </w:rPr>
            </w:pPr>
          </w:p>
        </w:tc>
        <w:tc>
          <w:tcPr>
            <w:tcW w:w="1900" w:type="dxa"/>
            <w:vAlign w:val="bottom"/>
            <w:gridSpan w:val="2"/>
          </w:tcPr>
          <w:p>
            <w:pPr>
              <w:jc w:val="center"/>
              <w:ind w:right="240"/>
              <w:spacing w:after="0" w:line="230" w:lineRule="exact"/>
              <w:rPr>
                <w:sz w:val="20"/>
                <w:szCs w:val="20"/>
                <w:color w:val="auto"/>
              </w:rPr>
            </w:pPr>
            <w:r>
              <w:rPr>
                <w:rFonts w:ascii="Times New Roman" w:cs="Times New Roman" w:eastAsia="Times New Roman" w:hAnsi="Times New Roman"/>
                <w:sz w:val="18"/>
                <w:szCs w:val="18"/>
                <w:b w:val="1"/>
                <w:bCs w:val="1"/>
                <w:color w:val="auto"/>
                <w:w w:val="97"/>
              </w:rPr>
              <w:t>Stockholder Return</w:t>
            </w:r>
            <w:r>
              <w:rPr>
                <w:rFonts w:ascii="Times New Roman" w:cs="Times New Roman" w:eastAsia="Times New Roman" w:hAnsi="Times New Roman"/>
                <w:sz w:val="23"/>
                <w:szCs w:val="23"/>
                <w:b w:val="1"/>
                <w:bCs w:val="1"/>
                <w:color w:val="auto"/>
                <w:w w:val="97"/>
                <w:vertAlign w:val="superscript"/>
              </w:rPr>
              <w:t>(4)</w:t>
            </w:r>
          </w:p>
        </w:tc>
        <w:tc>
          <w:tcPr>
            <w:tcW w:w="140" w:type="dxa"/>
            <w:vAlign w:val="bottom"/>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0" w:lineRule="exact"/>
        <w:rPr>
          <w:sz w:val="20"/>
          <w:szCs w:val="20"/>
          <w:color w:val="auto"/>
        </w:rPr>
      </w:pPr>
    </w:p>
    <w:p>
      <w:pPr>
        <w:ind w:left="340" w:hanging="332"/>
        <w:spacing w:after="0" w:line="286" w:lineRule="auto"/>
        <w:tabs>
          <w:tab w:leader="none" w:pos="2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PEO for each of 2025, 2024 and 2023 was Mr. Thompson, our current chief executive officer. As discussed under “—Summary Compensation Table” above, Mr. Thompson is employed by an affiliate of the Operator and the Administrator and his compensation is determined by, and paid to him directly by, such affiliate. The Company did not pay Mr. Thompson any compensation in any of the foregoing years.</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NEO for 2025, 2024 and 2023 is Mr. Berlin. In each of 2025, 2024 and 2023, Mr. Berlin’s compensation was paid by an affiliate of the</w:t>
      </w:r>
    </w:p>
    <w:p>
      <w:pPr>
        <w:spacing w:after="0" w:line="49" w:lineRule="exact"/>
        <w:rPr>
          <w:rFonts w:ascii="Times New Roman" w:cs="Times New Roman" w:eastAsia="Times New Roman" w:hAnsi="Times New Roman"/>
          <w:sz w:val="18"/>
          <w:szCs w:val="18"/>
          <w:color w:val="auto"/>
        </w:rPr>
      </w:pPr>
    </w:p>
    <w:p>
      <w:pPr>
        <w:ind w:left="3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 and the Administrator. Such affiliate was then reimbursed by the Company based on Mr. Berlin’s time spent working on matters pertaining to the lending business of the Company. The amount of such reimbursement is provided in the table above, consistent with the amount reported in the Summary Compensation Table for the applicable year.</w:t>
      </w:r>
    </w:p>
    <w:p>
      <w:pPr>
        <w:spacing w:after="0" w:line="2" w:lineRule="exact"/>
        <w:rPr>
          <w:rFonts w:ascii="Times New Roman" w:cs="Times New Roman" w:eastAsia="Times New Roman" w:hAnsi="Times New Roman"/>
          <w:sz w:val="18"/>
          <w:szCs w:val="18"/>
          <w:color w:val="auto"/>
        </w:rPr>
      </w:pPr>
    </w:p>
    <w:p>
      <w:pPr>
        <w:ind w:left="340" w:right="660" w:hanging="332"/>
        <w:spacing w:after="0" w:line="306" w:lineRule="auto"/>
        <w:tabs>
          <w:tab w:leader="none" w:pos="40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SCT Amount and the CAP Amounts are the same because Mr. Berlin did not receive any equity awards or pension benefits as part of his compensation and therefore the adjustments provided by the applicable rules adopted by the SEC do not apply to Mr. Berlin’s compensation.</w:t>
      </w:r>
    </w:p>
    <w:p>
      <w:pPr>
        <w:spacing w:after="0" w:line="1" w:lineRule="exact"/>
        <w:rPr>
          <w:rFonts w:ascii="Times New Roman" w:cs="Times New Roman" w:eastAsia="Times New Roman" w:hAnsi="Times New Roman"/>
          <w:sz w:val="17"/>
          <w:szCs w:val="17"/>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SEC disclosure rules, assumes $100 was invested on December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CAP Amounts and cumulative Total Stockholder Return and Net Income</w:t>
      </w:r>
    </w:p>
    <w:p>
      <w:pPr>
        <w:spacing w:after="0" w:line="337" w:lineRule="exact"/>
        <w:rPr>
          <w:sz w:val="20"/>
          <w:szCs w:val="20"/>
          <w:color w:val="auto"/>
        </w:rPr>
      </w:pPr>
    </w:p>
    <w:p>
      <w:pPr>
        <w:ind w:right="160" w:firstLine="648"/>
        <w:spacing w:after="0" w:line="328" w:lineRule="auto"/>
        <w:rPr>
          <w:sz w:val="20"/>
          <w:szCs w:val="20"/>
          <w:color w:val="auto"/>
        </w:rPr>
      </w:pPr>
      <w:r>
        <w:rPr>
          <w:rFonts w:ascii="Times New Roman" w:cs="Times New Roman" w:eastAsia="Times New Roman" w:hAnsi="Times New Roman"/>
          <w:sz w:val="18"/>
          <w:szCs w:val="18"/>
          <w:color w:val="auto"/>
        </w:rPr>
        <w:t>Mr. Berlin became chief financial officer and Secretary of the Company in August 2022. Prior to that Mr. Berlin was not a “named executive officer” of the Company. Upon Mr. Berlin becoming chief financial officer and secretary of the Company, his compensation was no longer charged to the Company for any services that he performed as chief financial officer and secretary of the Company. Further, the Company relies on CIM Group Management, LLC and its affiliates (collectively, “CIM Group”) for its accounting and finance functions. As a result, the Company believes that any comparison between CAP Amounts and total stockholder returns or net income is not meaningful.</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and Other Fees to Related Parties</w:t>
      </w:r>
    </w:p>
    <w:p>
      <w:pPr>
        <w:spacing w:after="0" w:line="297" w:lineRule="exact"/>
        <w:rPr>
          <w:sz w:val="20"/>
          <w:szCs w:val="20"/>
          <w:color w:val="auto"/>
        </w:rPr>
      </w:pPr>
    </w:p>
    <w:p>
      <w:pPr>
        <w:ind w:right="60" w:firstLine="648"/>
        <w:spacing w:after="0" w:line="294" w:lineRule="auto"/>
        <w:rPr>
          <w:sz w:val="20"/>
          <w:szCs w:val="20"/>
          <w:color w:val="auto"/>
        </w:rPr>
      </w:pPr>
      <w:r>
        <w:rPr>
          <w:rFonts w:ascii="Times New Roman" w:cs="Times New Roman" w:eastAsia="Times New Roman" w:hAnsi="Times New Roman"/>
          <w:sz w:val="18"/>
          <w:szCs w:val="18"/>
          <w:color w:val="auto"/>
        </w:rPr>
        <w:t>CIM Urban and CIM Capital, LLC, an affiliate of CIM Group (“CIM Capital”) are parties to an Investment Management Agreement pursuant to which CIM Urban engaged CIM Capital to provide certain services to CIM Urban. CIM Capital has assigned its duties under the Investment Management Agreement to its four wholly owned subsidiaries: CIM Capital Securities Management, LLC, a securities manager, CIM Capital RE Debt Management, LLC, a debt manager, CIM Capital Controlled Company Management, LLC, a controlled company manager, and CIM Capital Real Property Management, LLC, a real property manager. The “Operator” refers to CIM Capital and its four wholly owned subsidiaries. The Company and its subsidiaries are parties to a Master Services Agreement with the Administrator pursuant to which the Administrator provides or arranges for other service providers to provide management and administration services to the Company and its subsidiaries.</w:t>
      </w:r>
    </w:p>
    <w:p>
      <w:pPr>
        <w:spacing w:after="0" w:line="210"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On January 5, 2022, the Company and certain of its subsidiaries entered into a Fee Waiver (the “Fee Waiver”) with the Operator and the Administrator with respect to fees that are payable to them under the Investment Management Agreement and the Master Services Agreement, respectively. The Fee Waiver is effective retroactively to January 1, 2022 (the “Effective Date”). Pursuant to the Fee Waiver, the Administrator agrees to voluntarily waive any fees in excess of those set forth in the Fee Waiver, to the extent it would otherwise have been entitled to such additional compensation under the Master Service Agreement, and the Operator agrees to voluntarily waive any fees in excess of those set forth in the Fee Waiver, to the extent it would otherwise have been entitled to such additional compensation under the Investment Management Agreement. Following the end of each quarter, the Administrator will deliver to the Company (i) a calculation of the cumulative fees earned by the Operator and the Administrator under the methodology prescribed by the Fee Waiver from the Effective Date through the end of such quarter and (ii) a calculation of the cumulative fees that would have been earned by the Operator and the Administrator during such period under the Master Services Agreement and the Investment Management Agreement without giving effect to the Fee Waiver. If, in respect of any quarter, the aggregate fees that are payable under the methodology prescribed by the Fee Waiver exceed the aggregate fees that would have been payable under the Master Services Agreement and the Investment Management Agreement, without giving effect to the Fee Waiver, such quarter will be deemed an “Excess Quarter”. For any quarter following an Excess Quarter, the Company (upon the direction of the independent members of the Board) may, at its option and upon written notice to the Administrator, elect to calculate all fees due to the Administrator and the Operator in accordance with the Master Services Agreement and the Investment Management Agreement, without giving effect to the Fee Waiver, from and after such Excess Quarter. Any such election by the Company will be irrevocable, and all fees due to the Administrator and the Operator from and after such election will be calculated in accordance with the Master Services Agreement and the Investment Management Agreement, without giving effect to the Fee Waiver.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fees payable to the Operator and the Administrator are determined as follows under the Fee Waiver.</w:t>
      </w:r>
    </w:p>
    <w:p>
      <w:pPr>
        <w:spacing w:after="0" w:line="293"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Fee: A base asset management fee (the “Base Fee”) is payable quarterly in arrears to the Operator in an amount equal to an annual rate of 1%</w:t>
      </w:r>
    </w:p>
    <w:p>
      <w:pPr>
        <w:spacing w:after="0" w:line="49" w:lineRule="exact"/>
        <w:rPr>
          <w:rFonts w:ascii="Times New Roman" w:cs="Times New Roman" w:eastAsia="Times New Roman" w:hAnsi="Times New Roman"/>
          <w:sz w:val="18"/>
          <w:szCs w:val="18"/>
          <w:color w:val="auto"/>
        </w:rPr>
      </w:pPr>
    </w:p>
    <w:p>
      <w:pPr>
        <w:ind w:left="660"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0.25% per quarter) of the average of the “Net Asset Value Attributable to Common Stockholders” as of the first and last day of the applicable quarter. Net Asset Value Attributable to Common stockholders is defined as (a) the sum of the Company’s (1) investments in real estate at fair</w:t>
      </w:r>
    </w:p>
    <w:p>
      <w:pPr>
        <w:spacing w:after="0" w:line="1" w:lineRule="exact"/>
        <w:rPr>
          <w:rFonts w:ascii="Times New Roman" w:cs="Times New Roman" w:eastAsia="Times New Roman" w:hAnsi="Times New Roman"/>
          <w:sz w:val="18"/>
          <w:szCs w:val="18"/>
          <w:color w:val="auto"/>
        </w:rPr>
      </w:pPr>
    </w:p>
    <w:p>
      <w:pPr>
        <w:ind w:left="660" w:right="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(2) cash, (3) loans receivable at fair value and (4) the book value of the other assets of the Company, excluding deferred costs and net of other liabilities at book value, less (b) the Company’s (i) debt at face value, (ii) outstanding preferred stock at stated value, and (iii) non-</w:t>
      </w:r>
    </w:p>
    <w:p>
      <w:pPr>
        <w:spacing w:after="0" w:line="1" w:lineRule="exact"/>
        <w:rPr>
          <w:rFonts w:ascii="Times New Roman" w:cs="Times New Roman" w:eastAsia="Times New Roman" w:hAnsi="Times New Roman"/>
          <w:sz w:val="18"/>
          <w:szCs w:val="18"/>
          <w:color w:val="auto"/>
        </w:rPr>
      </w:pPr>
    </w:p>
    <w:p>
      <w:pPr>
        <w:ind w:left="660" w:right="2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interests at book value; provided, that, non-controlling interests in any UPREIT operating partnership relating to the Company shall not be excluded.</w:t>
      </w:r>
    </w:p>
    <w:p>
      <w:pPr>
        <w:spacing w:after="0" w:line="121" w:lineRule="exact"/>
        <w:rPr>
          <w:rFonts w:ascii="Times New Roman" w:cs="Times New Roman" w:eastAsia="Times New Roman" w:hAnsi="Times New Roman"/>
          <w:sz w:val="18"/>
          <w:szCs w:val="18"/>
          <w:color w:val="auto"/>
        </w:rPr>
      </w:pPr>
    </w:p>
    <w:p>
      <w:pPr>
        <w:ind w:left="660" w:right="460" w:hanging="328"/>
        <w:spacing w:after="0" w:line="306" w:lineRule="auto"/>
        <w:tabs>
          <w:tab w:leader="none" w:pos="65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Fee: A revised incentive fee (the “Revised Incentive Fee”) is payable quarterly in arrears to the Administrator with respect to the quarterly core funds from operations in excess of a quarterly threshold equal to 1.75% (i.e., 7.00% on an annualized basis) of the Company’s</w:t>
      </w:r>
    </w:p>
    <w:p>
      <w:pPr>
        <w:spacing w:after="0" w:line="1" w:lineRule="exact"/>
        <w:rPr>
          <w:rFonts w:ascii="Times New Roman" w:cs="Times New Roman" w:eastAsia="Times New Roman" w:hAnsi="Times New Roman"/>
          <w:sz w:val="17"/>
          <w:szCs w:val="17"/>
          <w:color w:val="auto"/>
        </w:rPr>
      </w:pPr>
    </w:p>
    <w:p>
      <w:pPr>
        <w:ind w:left="660" w:right="1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Common Equity” (as defined below) for such quarter (“Excess Core FFO”) as follows: (i) no Incentive Fee in any quarter in which the Excess Core FFO is $0; (ii)</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jc w:val="both"/>
        <w:ind w:left="660" w:right="20"/>
        <w:spacing w:after="0" w:line="305" w:lineRule="auto"/>
        <w:rPr>
          <w:sz w:val="20"/>
          <w:szCs w:val="20"/>
          <w:color w:val="auto"/>
        </w:rPr>
      </w:pPr>
      <w:r>
        <w:rPr>
          <w:rFonts w:ascii="Times New Roman" w:cs="Times New Roman" w:eastAsia="Times New Roman" w:hAnsi="Times New Roman"/>
          <w:sz w:val="18"/>
          <w:szCs w:val="18"/>
          <w:color w:val="auto"/>
        </w:rPr>
        <w:t>100% of any Excess Core FFO up to an amount equal to the product of (x) the average of the Adjusted Common Equity as of the first and last day of the applicable quarter and (y) 0.4375%; and (iii) 20% of any Excess Core FFO thereafter. Revised Incentive Fees payable for any partial quarter will be appropriately prorated.</w:t>
      </w:r>
    </w:p>
    <w:p>
      <w:pPr>
        <w:spacing w:after="0" w:line="115" w:lineRule="exact"/>
        <w:rPr>
          <w:sz w:val="20"/>
          <w:szCs w:val="20"/>
          <w:color w:val="auto"/>
        </w:rPr>
      </w:pPr>
    </w:p>
    <w:p>
      <w:pPr>
        <w:ind w:left="660" w:right="20" w:firstLine="648"/>
        <w:spacing w:after="0" w:line="293" w:lineRule="auto"/>
        <w:rPr>
          <w:sz w:val="20"/>
          <w:szCs w:val="20"/>
          <w:color w:val="auto"/>
        </w:rPr>
      </w:pPr>
      <w:r>
        <w:rPr>
          <w:rFonts w:ascii="Times New Roman" w:cs="Times New Roman" w:eastAsia="Times New Roman" w:hAnsi="Times New Roman"/>
          <w:sz w:val="18"/>
          <w:szCs w:val="18"/>
          <w:color w:val="auto"/>
        </w:rPr>
        <w:t>“Adjusted Common Equity” means Common Equity plus Excluded Depreciation and Amortization. “Common Equity” means Total Stockholders’ Equity minus Excluded Equity. “Total Stockholders’ Equity” means the amount reflected as total stockholders’ equity in accordance with GAAP on the consolidated balance sheet of the Company and its subsidiaries as of the last day of a given quarter. “Excluded Equity” means the sum of all preferred securities of the Company and its subsidiaries classified as permanent equity in accordance with GAAP on the consolidated balance sheet of the Company and its subsidiaries as of the last day of a given quarter. “Excluded Depreciation and Amortization” means, for a given quarter, the amount of all accumulated depreciation and amortization of (i) the Company and its subsidiaries and (ii) to the extent allocable to the Company and its subsidiaries, the unconsolidated affiliates, in each case as of the last day of such quarter that corresponds to the periodic depreciation and amortization expense calculated in each case in accordance with GAAP that is a permitted add back to net income calculated in accordance with GAAP when calculating funds from operations.</w:t>
      </w:r>
    </w:p>
    <w:p>
      <w:pPr>
        <w:spacing w:after="0" w:line="142"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Gains Fee: A capital gains fee (the “Capital Gains Fee”) is payable quarterly in arrears to the Administrator in an amount equal to (i) 15%</w:t>
      </w:r>
    </w:p>
    <w:p>
      <w:pPr>
        <w:spacing w:after="0" w:line="49" w:lineRule="exact"/>
        <w:rPr>
          <w:rFonts w:ascii="Times New Roman" w:cs="Times New Roman" w:eastAsia="Times New Roman" w:hAnsi="Times New Roman"/>
          <w:sz w:val="18"/>
          <w:szCs w:val="18"/>
          <w:color w:val="auto"/>
        </w:rPr>
      </w:pPr>
    </w:p>
    <w:p>
      <w:pPr>
        <w:ind w:left="660" w:right="2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the cumulative aggregate realized capital gains minus the cumulative aggregate realized capital losses (in each case since the Effective Date), minus (ii) the aggregate capital gains fees paid since the Effective Date. Realized capital gains and realized capital losses are calculated by</w:t>
      </w:r>
    </w:p>
    <w:p>
      <w:pPr>
        <w:spacing w:after="0" w:line="1" w:lineRule="exact"/>
        <w:rPr>
          <w:rFonts w:ascii="Times New Roman" w:cs="Times New Roman" w:eastAsia="Times New Roman" w:hAnsi="Times New Roman"/>
          <w:sz w:val="18"/>
          <w:szCs w:val="18"/>
          <w:color w:val="auto"/>
        </w:rPr>
      </w:pPr>
    </w:p>
    <w:p>
      <w:pPr>
        <w:ind w:left="66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from the sales price of a property: (a) any costs incurred to sell such property, and (b) the current gross value of the property (meaning the property’s original acquisition price plus any subsequent, non-reimbursed capital improvements thereon paid for by the Company).</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Operator earned asset management fees of $1.4 million and $1.8 million, respectively.</w:t>
      </w:r>
    </w:p>
    <w:p>
      <w:pPr>
        <w:spacing w:after="0" w:line="279" w:lineRule="exact"/>
        <w:rPr>
          <w:sz w:val="20"/>
          <w:szCs w:val="20"/>
          <w:color w:val="auto"/>
        </w:rPr>
      </w:pPr>
    </w:p>
    <w:p>
      <w:pPr>
        <w:ind w:right="20" w:firstLine="648"/>
        <w:spacing w:after="0" w:line="293" w:lineRule="auto"/>
        <w:rPr>
          <w:sz w:val="20"/>
          <w:szCs w:val="20"/>
          <w:color w:val="auto"/>
        </w:rPr>
      </w:pPr>
      <w:r>
        <w:rPr>
          <w:rFonts w:ascii="Times New Roman" w:cs="Times New Roman" w:eastAsia="Times New Roman" w:hAnsi="Times New Roman"/>
          <w:sz w:val="18"/>
          <w:szCs w:val="18"/>
          <w:color w:val="auto"/>
        </w:rPr>
        <w:t>Affiliates of CIM Group (collectively, the “CIM Management Entities”) provide property management, leasing, and development services to CIM Urban. The CIM Management Entities earned property management fees, which are included in rental and other property operating expenses, totaling $2.1 million and $2.3 million for the year ended December 31, 2025 and 2024, respectively. The Company also reimbursed the CIM Management Entities $6.9 million and $7.7 million during the year ended December 31, 2025 and 2024, respectively, for onsite management costs incurred on behalf of the Company, which are included in rental and other property operating expenses. The CIM Management Entities earned leasing commissions of $235,000 and $808,000 for the year ended December 31, 2025 and 2024, respectively, which were capitalized to deferred charges. For the year ended December 31, 2025 and 2024, the CIM Management Entities earned construction management fees of $532,000 and $1.1 million, respectively, and were reimbursed $1.1 million and $1.7 million, respectively, for development management reimbursements. The construction management fees and development management reimbursements were capitalized to investments in real estate.</w:t>
      </w:r>
    </w:p>
    <w:p>
      <w:pPr>
        <w:spacing w:after="0" w:line="22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Pursuant to the Master Services Agreement, we appointed an affiliate of CIM Group as the administrator of Urban Partners GP, LLC. Under the Master Services Agreement, for fiscal quarters prior to April 1, 2020, the Company paid a base service fee (the “Base Service Fee”) to the Administrator initially set at $1,000,000 per year (subject to an annual escalation by a specified inflation factor beginning on January 1, 2015), payable quarterly in arrears. On May 11, 2020, the Master Services Agreement was amended to replace the Base Service Fee with an incentive fee pursuant to which the Administrator was entitled to receive, on a quarterly basis, 15.00% of the Company’s quarterly core funds from operations in excess of a quarterly threshold equal to 1.75% (i.e., 7.00% on an annualized basis) of the Company’s average adjusted common stockholders’ equity (i.e., common stockholders’ equity plus accumulated depreciation and amortization) for such quarter. The amendment was effective as of April 1, 2020 and was further modified by the Fee Waiver described above. No such incentive fee was paid by the Company.</w:t>
      </w:r>
    </w:p>
    <w:p>
      <w:pPr>
        <w:spacing w:after="0" w:line="206" w:lineRule="exact"/>
        <w:rPr>
          <w:sz w:val="20"/>
          <w:szCs w:val="20"/>
          <w:color w:val="auto"/>
        </w:rPr>
      </w:pPr>
    </w:p>
    <w:p>
      <w:pPr>
        <w:ind w:right="480" w:firstLine="648"/>
        <w:spacing w:after="0" w:line="329" w:lineRule="auto"/>
        <w:rPr>
          <w:sz w:val="20"/>
          <w:szCs w:val="20"/>
          <w:color w:val="auto"/>
        </w:rPr>
      </w:pPr>
      <w:r>
        <w:rPr>
          <w:rFonts w:ascii="Times New Roman" w:cs="Times New Roman" w:eastAsia="Times New Roman" w:hAnsi="Times New Roman"/>
          <w:sz w:val="18"/>
          <w:szCs w:val="18"/>
          <w:color w:val="auto"/>
        </w:rPr>
        <w:t>In addition, pursuant to the terms of the Master Services Agreement, the Administrator may receive compensation and/or reimbursement for performing certain services for the Company and its subsidiaries that are not covered by the Base Service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spacing w:after="0" w:line="299" w:lineRule="auto"/>
        <w:rPr>
          <w:sz w:val="20"/>
          <w:szCs w:val="20"/>
          <w:color w:val="auto"/>
        </w:rPr>
      </w:pPr>
      <w:r>
        <w:rPr>
          <w:rFonts w:ascii="Times New Roman" w:cs="Times New Roman" w:eastAsia="Times New Roman" w:hAnsi="Times New Roman"/>
          <w:sz w:val="18"/>
          <w:szCs w:val="18"/>
          <w:color w:val="auto"/>
        </w:rPr>
        <w:t>Fee or the incentive fee arrangement in place between May 11, 2020 and January 5, 2022, as the case may be. During the year ended December 31, 2025 and 2024, such services performed by the Administrator and its affiliates included accounting, tax, reporting, internal audit, legal, compliance, risk management, IT, human resources, corporate communications, operational and on-going support in connection with the Company’s offering of Preferred Stock. The Company will also reimburse the Administrator for the Company’s share of broken deal expenses that are incurred by the Administrator and its affiliates (i.e., fees and expenses relating to investments that could have been made by the Company but that the Company did not make and/or transactions that could have been executed by the Company but the Company did not consummate, including fees and expenses associated with performing due diligence review and negotiating the terms of such investments or transactions). The Administrator’s compensation is based on the salaries and benefits of the employees of the Administrator and/or its affiliates who performed these services (allocated based on the percentage of time spent on the affairs of the Company and its subsidiaries). For the years ended December 31, 2025 and 2024, we expensed $3.5 million and $2.3 million, respectively, for such services, which are included in expense reimbursements to related parties—corporate.</w:t>
      </w:r>
    </w:p>
    <w:p>
      <w:pPr>
        <w:spacing w:after="0" w:line="216" w:lineRule="exact"/>
        <w:rPr>
          <w:sz w:val="20"/>
          <w:szCs w:val="20"/>
          <w:color w:val="auto"/>
        </w:rPr>
      </w:pPr>
    </w:p>
    <w:p>
      <w:pPr>
        <w:ind w:right="20" w:firstLine="648"/>
        <w:spacing w:after="0" w:line="294" w:lineRule="auto"/>
        <w:rPr>
          <w:sz w:val="20"/>
          <w:szCs w:val="20"/>
          <w:color w:val="auto"/>
        </w:rPr>
      </w:pPr>
      <w:r>
        <w:rPr>
          <w:rFonts w:ascii="Times New Roman" w:cs="Times New Roman" w:eastAsia="Times New Roman" w:hAnsi="Times New Roman"/>
          <w:sz w:val="18"/>
          <w:szCs w:val="18"/>
          <w:color w:val="auto"/>
        </w:rPr>
        <w:t>During the year ended December 31, 2025, the Company was a party to a Staffing and Reimbursement Agreement with CIM SBA Staffing, LLC, an affiliate of CIM Group, and our subsidiary, PMC Commercial Lending, LLC. The agreement provided that CIM SBA would provide personnel and resources to the Company and the Company would reimburse CIM SBA Staffing, LLC for the costs and expenses of providing such personnel and resources. For the years ended December 31, 2025 and 2024, the Company incurred expenses related to services subject to reimbursement by the Company under the agreement of $2.6 million for both such years, in both cases included as expense reimbursements to related parties – lending segment. The Staffing and Reimbursement Agreement was terminated effective upon the closing of the Company’s sale of its lending business on January 21, 2026.</w:t>
      </w:r>
    </w:p>
    <w:p>
      <w:pPr>
        <w:spacing w:after="0" w:line="220" w:lineRule="exact"/>
        <w:rPr>
          <w:sz w:val="20"/>
          <w:szCs w:val="20"/>
          <w:color w:val="auto"/>
        </w:rPr>
      </w:pPr>
    </w:p>
    <w:p>
      <w:pPr>
        <w:ind w:right="120" w:firstLine="648"/>
        <w:spacing w:after="0" w:line="294" w:lineRule="auto"/>
        <w:rPr>
          <w:sz w:val="20"/>
          <w:szCs w:val="20"/>
          <w:color w:val="auto"/>
        </w:rPr>
      </w:pPr>
      <w:r>
        <w:rPr>
          <w:rFonts w:ascii="Times New Roman" w:cs="Times New Roman" w:eastAsia="Times New Roman" w:hAnsi="Times New Roman"/>
          <w:sz w:val="17"/>
          <w:szCs w:val="17"/>
          <w:color w:val="auto"/>
        </w:rPr>
        <w:t>CCO Capital, LLC (“CCO Capital”) became the exclusive dealer manager for the Company’s public offering of the Series A Preferred Stock and Series A Preferred Warrants effective as of May 31, 2019. CCO Capital is a registered broker dealer and is under common control with the Operator and the Administrator. The Company’s offering of the Series A Preferred Warrants ended at the end of January 2020. On January 28, 2020, the Company entered into the Second Amended and Restated Dealer Manager Agreement, pursuant to which CCO Capital acted as the exclusive dealer manager for the Company’s public offering of its Series A Preferred Stock and Series D Preferred Stock. The Second Amended and Restated Dealer Manager Agreement was subsequently amended by the Company and CCO Capital to address changes to, among other things, selling commissions and dealer manager fees.</w:t>
      </w:r>
    </w:p>
    <w:p>
      <w:pPr>
        <w:spacing w:after="0" w:line="210"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18"/>
          <w:szCs w:val="18"/>
          <w:color w:val="auto"/>
        </w:rPr>
        <w:t>On June 16, 2022, the Company entered into the Third Amended and Restated Dealer Manager Agreement, pursuant to which CCO Capital has been acting as the exclusive dealer manager for the Company’s public offering of its Series A1 Preferred Stock. Thereunder, the Company agreed to compensate CCO Capital, as the dealer manager for the offering, as follows: (1) a dealer manager fee of up to 3.00% of the selling price of each share of Series A1 Preferred Stock sold and (2) selling commissions of up to 7.00% of the selling price of each share of Series A1 Preferred Stock sold. The Company has been informed that CCO Capital generally reallows 100% of the selling commissions on sales of Series A1 Preferred Stock and generally reallows substantially all of the dealer manager fee on sales of Series A1 Preferred Stock to participating broker-dealers. In addition, pursuant to the Third Amended and Restated Dealer Manager Agreement, CCO Capital will no longer solicit or make any offers for the sale of shares of Series A Preferred Stock or Series D Preferred Stock.</w:t>
      </w:r>
    </w:p>
    <w:p>
      <w:pPr>
        <w:spacing w:after="0" w:line="206" w:lineRule="exact"/>
        <w:rPr>
          <w:sz w:val="20"/>
          <w:szCs w:val="20"/>
          <w:color w:val="auto"/>
        </w:rPr>
      </w:pPr>
    </w:p>
    <w:p>
      <w:pPr>
        <w:jc w:val="both"/>
        <w:ind w:right="420"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offering of the Series A Units, Series A Preferred Stock and Series D Preferred Stock, at both December 31, 2025 and 2024, $0 was included in deferred costs as reimbursable expenses incurred pursuant to the Master Services Agreement and the then applicable dealer manager agreement with CCO Capital, and $0 and $289,000, respectively, was included in due to related parties. CCO Capital incurred non-issuance specific costs of $0 and $606,000 for the year ended December 31, 2025 and 2024, respectively.</w:t>
      </w:r>
    </w:p>
    <w:p>
      <w:pPr>
        <w:spacing w:after="0" w:line="200" w:lineRule="exact"/>
        <w:rPr>
          <w:sz w:val="20"/>
          <w:szCs w:val="20"/>
          <w:color w:val="auto"/>
        </w:rPr>
      </w:pPr>
    </w:p>
    <w:p>
      <w:pPr>
        <w:jc w:val="both"/>
        <w:ind w:right="60" w:firstLine="648"/>
        <w:spacing w:after="0" w:line="305" w:lineRule="auto"/>
        <w:rPr>
          <w:sz w:val="20"/>
          <w:szCs w:val="20"/>
          <w:color w:val="auto"/>
        </w:rPr>
      </w:pPr>
      <w:r>
        <w:rPr>
          <w:rFonts w:ascii="Times New Roman" w:cs="Times New Roman" w:eastAsia="Times New Roman" w:hAnsi="Times New Roman"/>
          <w:sz w:val="18"/>
          <w:szCs w:val="18"/>
          <w:color w:val="auto"/>
        </w:rPr>
        <w:t>At December 31, 2025 and 2024, upfront dealer manager and trailing dealer manager fees of $203,000 and $186,000, respectively, were included in due to related parties. CCO Capital earned upfront dealer manager and trailing dealer manager fees of $0 and $546,000 for the year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Investments with Affiliates of CIM Group</w:t>
      </w:r>
    </w:p>
    <w:p>
      <w:pPr>
        <w:spacing w:after="0" w:line="202" w:lineRule="exact"/>
        <w:rPr>
          <w:sz w:val="20"/>
          <w:szCs w:val="20"/>
          <w:color w:val="auto"/>
        </w:rPr>
      </w:pPr>
    </w:p>
    <w:p>
      <w:pPr>
        <w:ind w:right="140" w:firstLine="648"/>
        <w:spacing w:after="0" w:line="302" w:lineRule="auto"/>
        <w:rPr>
          <w:sz w:val="20"/>
          <w:szCs w:val="20"/>
          <w:color w:val="auto"/>
        </w:rPr>
      </w:pPr>
      <w:r>
        <w:rPr>
          <w:rFonts w:ascii="Times New Roman" w:cs="Times New Roman" w:eastAsia="Times New Roman" w:hAnsi="Times New Roman"/>
          <w:sz w:val="18"/>
          <w:szCs w:val="18"/>
          <w:color w:val="auto"/>
        </w:rPr>
        <w:t>In February 2022, the Company invested with a CIM-managed separate account (the “1910 Sunset JV Partner”), in an unconsolidated joint venture which purchased an office property in Los Angeles, California for a gross purchase price of approximately $51.0 million, of which the Company initially contributed approximately $22.4 million and the 1910 Sunset JV Partner initially contributed the remaining balance. See Note 2 and Note 4 to the Company’s financial statements in its Annual Report on Form 10-K for more information.</w:t>
      </w:r>
    </w:p>
    <w:p>
      <w:pPr>
        <w:spacing w:after="0" w:line="119"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In February 2023, the Company and a CIM-managed interval fund purchased a multifamily property in the Echo Park neighborhood of Los Angeles, California for a gross purchase price of $19.1 million (the “1902 Park JV”), with the Company owning a 50% interest. In October 2024, the 1902 Park JV admitted a new third-party co-investor and used part of the net capital contribution of such third party co-investor to satisfy the 1902 Park JV’s mortgage loan in full. Subsequent to this contribution, the Company’s ownership share of the 1902 Park JV was 25.5%. See Note 2 and Note 4 to the Company’s financial statements in its Annual Report on Form 10-K for more information.</w:t>
      </w:r>
    </w:p>
    <w:p>
      <w:pPr>
        <w:spacing w:after="0" w:line="137" w:lineRule="exact"/>
        <w:rPr>
          <w:sz w:val="20"/>
          <w:szCs w:val="20"/>
          <w:color w:val="auto"/>
        </w:rPr>
      </w:pPr>
    </w:p>
    <w:p>
      <w:pPr>
        <w:jc w:val="both"/>
        <w:ind w:right="60" w:firstLine="648"/>
        <w:spacing w:after="0" w:line="302" w:lineRule="auto"/>
        <w:rPr>
          <w:sz w:val="20"/>
          <w:szCs w:val="20"/>
          <w:color w:val="auto"/>
        </w:rPr>
      </w:pPr>
      <w:r>
        <w:rPr>
          <w:rFonts w:ascii="Times New Roman" w:cs="Times New Roman" w:eastAsia="Times New Roman" w:hAnsi="Times New Roman"/>
          <w:sz w:val="18"/>
          <w:szCs w:val="18"/>
          <w:color w:val="auto"/>
        </w:rPr>
        <w:t>In October 2023, the Company and a co-investor affiliated with CIM Group acquired from an unrelated third party a 100% fee-simple interest in a plot of land located in the Sycamore media district of Los Angeles, California for a gross purchase price of $18.0 million (excluding transaction costs) (the “1015 Mansfield JV”). The property has a site area of approximately 44,141 square feet and contains a parking garage that has been leased to a third-party tenant. The Company owns 28.8% of the 1015 N Mansfield JV.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1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On May 15, 2019, an affiliate of CIM Group entered into an approximately 11-year lease that runs through May 2030 for approximately 30,000 rentable square feet with respect to a property owned by the Company and three co-investors pursuant to an unconsolidated joint venture arrangement (the “4750 Wilshire JV”), in which the Company has a 20% interest. For the year ended December 31, 2025, the Company’s share of the income from the tenant earned by the 4750 Wilshire JV was $335,000. For the year ended December 31, 2024, the Company’s share of the income from the tenant earned by the 4750 Wilshire JV was $342,000.</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loan agreement for one of the Company’s fixed rate mortgages payable secured by three of the Company’s office properties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Los Angeles, California (the “Wilshire Mortgage Loan”), the Company (in such capacity, the “REIT Guarantor”) and CIM Group Investments, LLC, 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CIM Group (the “CIM Guarantor” and, together with the REIT Guarantor, the “Guarantor”), delivered a customary non-recourse carveout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to the lenders (the “Guaranty Agreement”), under which (i) the Company agreed to indemnify the lenders with respect to certain “non-recourse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carveout events” and to be fully liable for the Wilshire Mortgage Loan in certain circumstances (e.g., the voluntary bankruptcy of the borrowers under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Wilshire Mortgage Loan, each of which is a subsidiary of the Company, and other insolvency events (collectively, the “Bankruptcy Events”)) and (ii)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CIM Guarantor is jointly and severally fully liable with the Company for the Wilshire Mortgage Loan in the case of Bankruptcy Events (collectively,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“Guaranties”). The Guaranty Agreement requires the Guarantor to maintain a net worth of no less than $105.0 million and liquid assets of no less than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million, in each case, exclusive of the values of the collateral for the Wilshire Mortgage Loan, provided that in the event of any partial prepayment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defeasance of the Wilshire Mortgage Loan, the above-referenced net worth and liquidity requirements will be reduced in proportion to the principal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Wilshire Mortgage Loan that is partially prepaid and/or defeased, as the case may be.</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29, 2025, an affiliate of CIM Group extended an unsecured term loan facility to the Company with total available principal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and with an applicable interest rate of 7.5%. The unsecured term loan facility expired concurrent with the closing of the sale of the Company’s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 division on January 21, 2026, and the Company did not borrow any amounts under the facility prior to its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Review, Approval and Ratification of Transactions with Related Persons</w:t>
      </w:r>
    </w:p>
    <w:p>
      <w:pPr>
        <w:spacing w:after="0" w:line="2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Board has adopted a written related person transaction policy. Under the policy, a “Related Person Transaction” includes certain transactions, arrangements or relationships (or any series of similar transactions, arrangements or relationships) in which the Company (including any of its subsidiaries) was, is or will be a participant, and in which a related person had, has or will have a direct or indirect material interest.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“Related Person” is: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person who was in any of the following categories during the applicable period:</w:t>
      </w:r>
    </w:p>
    <w:p>
      <w:pPr>
        <w:spacing w:after="0" w:line="3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 director or nominee for director;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any executive officer; or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any immediate family member of a director or executive officer, or of any nominee for director, which means any child, stepchild, parent,</w:t>
      </w:r>
    </w:p>
    <w:p>
      <w:pPr>
        <w:spacing w:after="0" w:line="35" w:lineRule="exact"/>
        <w:rPr>
          <w:rFonts w:ascii="Arial" w:cs="Arial" w:eastAsia="Arial" w:hAnsi="Arial"/>
          <w:sz w:val="22"/>
          <w:szCs w:val="22"/>
          <w:color w:val="auto"/>
        </w:rPr>
      </w:pPr>
    </w:p>
    <w:p>
      <w:pPr>
        <w:ind w:left="660" w:right="480"/>
        <w:spacing w:after="0" w:line="313" w:lineRule="auto"/>
        <w:rPr>
          <w:rFonts w:ascii="Arial" w:cs="Arial" w:eastAsia="Arial" w:hAnsi="Arial"/>
          <w:sz w:val="22"/>
          <w:szCs w:val="22"/>
          <w:color w:val="auto"/>
        </w:rPr>
      </w:pPr>
      <w:r>
        <w:rPr>
          <w:rFonts w:ascii="Times New Roman" w:cs="Times New Roman" w:eastAsia="Times New Roman" w:hAnsi="Times New Roman"/>
          <w:sz w:val="18"/>
          <w:szCs w:val="18"/>
          <w:color w:val="auto"/>
        </w:rPr>
        <w:t>stepparent, spouse, sibling, mother in law, father in law, son in law, daughter in law, brother in law, or sister in law of the director, executive officer, or nominee for director and any person (other than a tenant or employee) sharing the household of such security holder.</w:t>
      </w:r>
    </w:p>
    <w:p>
      <w:pPr>
        <w:spacing w:after="0" w:line="203"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8"/>
          <w:szCs w:val="18"/>
          <w:color w:val="auto"/>
        </w:rPr>
        <w:t>Any person who was in any of the following categories when a transaction in which such person had a direct or indirect material interest occurred or existed:</w:t>
      </w:r>
    </w:p>
    <w:p>
      <w:pPr>
        <w:spacing w:after="0" w:line="22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any person who is known to the Company to be the beneficial owner of more than 5% of our shares; and</w:t>
      </w:r>
    </w:p>
    <w:p>
      <w:pPr>
        <w:spacing w:after="0" w:line="62" w:lineRule="exact"/>
        <w:rPr>
          <w:rFonts w:ascii="Arial" w:cs="Arial" w:eastAsia="Arial" w:hAnsi="Arial"/>
          <w:sz w:val="22"/>
          <w:szCs w:val="22"/>
          <w:color w:val="auto"/>
        </w:rPr>
      </w:pPr>
    </w:p>
    <w:p>
      <w:pPr>
        <w:ind w:left="660" w:right="120" w:hanging="328"/>
        <w:spacing w:after="0" w:line="281"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any immediate family member of any such security holder, which means any child, stepchild, parent, stepparent, spouse, sibling, mother in law, father in law, son in law, daughter in law, brother in law, or sister in law of such security holder and any person (other than a tenant or employee) sharing the household of such security holder.</w:t>
      </w:r>
    </w:p>
    <w:p>
      <w:pPr>
        <w:spacing w:after="0" w:line="218" w:lineRule="exact"/>
        <w:rPr>
          <w:sz w:val="20"/>
          <w:szCs w:val="20"/>
          <w:color w:val="auto"/>
        </w:rPr>
      </w:pPr>
    </w:p>
    <w:p>
      <w:pPr>
        <w:ind w:right="180" w:firstLine="648"/>
        <w:spacing w:after="0" w:line="329" w:lineRule="auto"/>
        <w:rPr>
          <w:sz w:val="20"/>
          <w:szCs w:val="20"/>
          <w:color w:val="auto"/>
        </w:rPr>
      </w:pPr>
      <w:r>
        <w:rPr>
          <w:rFonts w:ascii="Times New Roman" w:cs="Times New Roman" w:eastAsia="Times New Roman" w:hAnsi="Times New Roman"/>
          <w:sz w:val="18"/>
          <w:szCs w:val="18"/>
          <w:color w:val="auto"/>
        </w:rPr>
        <w:t>A person who has a position or relationship within a firm, corporation or other entity that engages in a transaction with the Company will not be deemed to have an “indirect material interest” within the meaning of “Related Person Transaction” when: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 arises only:</w:t>
      </w:r>
    </w:p>
    <w:p>
      <w:pPr>
        <w:spacing w:after="0" w:line="31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from such person’s position as a director of another corporation or organization that is a party to the transaction; or</w:t>
      </w:r>
    </w:p>
    <w:p>
      <w:pPr>
        <w:spacing w:after="0" w:line="62" w:lineRule="exact"/>
        <w:rPr>
          <w:rFonts w:ascii="Arial" w:cs="Arial" w:eastAsia="Arial" w:hAnsi="Arial"/>
          <w:sz w:val="22"/>
          <w:szCs w:val="22"/>
          <w:color w:val="auto"/>
        </w:rPr>
      </w:pPr>
    </w:p>
    <w:p>
      <w:pPr>
        <w:ind w:left="660" w:right="160" w:hanging="328"/>
        <w:spacing w:after="0" w:line="270"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from the direct or indirect ownership by such person and all other persons specified in the definition of “Related Person” in the aggregate of less than 10% equity interest in another person (other than a partnership) which is a party to the transaction; or</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from both such position and ownership; or</w:t>
      </w:r>
    </w:p>
    <w:p>
      <w:pPr>
        <w:spacing w:after="0" w:line="62" w:lineRule="exact"/>
        <w:rPr>
          <w:rFonts w:ascii="Arial" w:cs="Arial" w:eastAsia="Arial" w:hAnsi="Arial"/>
          <w:sz w:val="22"/>
          <w:szCs w:val="22"/>
          <w:color w:val="auto"/>
        </w:rPr>
      </w:pPr>
    </w:p>
    <w:p>
      <w:pPr>
        <w:ind w:left="660" w:right="200" w:hanging="328"/>
        <w:spacing w:after="0" w:line="306" w:lineRule="auto"/>
        <w:tabs>
          <w:tab w:leader="none" w:pos="65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from such person’s position as a limited partner in a partnership in which the person and all other persons specified in the definition of “Related Person” have an interest of less than 10%, and the person is not a general partner of and does not hold another position in the partnership.</w:t>
      </w:r>
    </w:p>
    <w:p>
      <w:pPr>
        <w:spacing w:after="0" w:line="19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Times New Roman" w:cs="Times New Roman" w:eastAsia="Times New Roman" w:hAnsi="Times New Roman"/>
          <w:sz w:val="18"/>
          <w:szCs w:val="18"/>
          <w:color w:val="auto"/>
        </w:rPr>
        <w:t>Each of the Company’s executive officers is encouraged to help identify any potential Related Person Transaction.</w:t>
      </w:r>
    </w:p>
    <w:p>
      <w:pPr>
        <w:spacing w:after="0" w:line="279"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If a new Related Person Transaction is identified, it will initially be brought to the attention of the Chief Financial Officer, who will then prepare a recommendation to the Board and/or a committee thereof regarding whether the proposed transaction is reasonable and fair to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39" w:name="page40"/>
    <w:bookmarkEnd w:id="39"/>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A committee comprised solely of independent directors, who are also independent of the Related Person Transaction in question, will determine whether to approve a Related Person Transaction. In general, the committee will only approve or ratify a Related Person Transaction if it determines, among other things, that the Related Person Transaction is reasonable and fair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97"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18"/>
          <w:szCs w:val="18"/>
          <w:color w:val="auto"/>
        </w:rPr>
        <w:t>Under the corporate governance standards of Nasdaq, a majority of the members of the Board must be independent. In making independence determinations, the Board observes all criteria for independence established by the SEC and Nasdaq. As part of such review, the Board considers transactions and relationships between each director or any member of his or her immediate family and the Company, including (if applicable) those reported under “Related Person Transactions.” The purpose of such review is to determine whether any such relationships or transactions are inconsistent with a determination that a director is independent. Based on the foregoing, the Board has determined that each of Messrs. Bech and Bryant and Ms. Edwards and Ms. Wong are independent directors.</w:t>
      </w: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40" w:name="page41"/>
    <w:bookmarkEnd w:id="40"/>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PUBLIC ACCOUNTING FIRM</w:t>
      </w:r>
    </w:p>
    <w:p>
      <w:pPr>
        <w:spacing w:after="0" w:line="189" w:lineRule="exact"/>
        <w:rPr>
          <w:sz w:val="20"/>
          <w:szCs w:val="20"/>
          <w:color w:val="auto"/>
        </w:rPr>
      </w:pPr>
    </w:p>
    <w:p>
      <w:pPr>
        <w:ind w:right="200" w:firstLine="648"/>
        <w:spacing w:after="0" w:line="297" w:lineRule="auto"/>
        <w:rPr>
          <w:sz w:val="20"/>
          <w:szCs w:val="20"/>
          <w:color w:val="auto"/>
        </w:rPr>
      </w:pPr>
      <w:r>
        <w:rPr>
          <w:rFonts w:ascii="Times New Roman" w:cs="Times New Roman" w:eastAsia="Times New Roman" w:hAnsi="Times New Roman"/>
          <w:sz w:val="18"/>
          <w:szCs w:val="18"/>
          <w:color w:val="auto"/>
        </w:rPr>
        <w:t>Deloitte was appointed to serve as our independent registered public accounting firm for the fiscal year ended December 31, 2025. Although ratification of the appointment of Deloitte by our stockholders is not required, the Board is submitting the selection of Deloitte to our stockholders for ratification as a matter of good corporate governance. If the selection is not ratified, the Audit Committee will consider whether it is appropriate to select another independent registered public accounting firm.</w:t>
      </w:r>
    </w:p>
    <w:p>
      <w:pPr>
        <w:spacing w:after="0" w:line="136"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8"/>
          <w:szCs w:val="18"/>
          <w:color w:val="auto"/>
        </w:rPr>
        <w:t>We expect representatives of Deloitte to be at the virtual Annual Meeting, and they will have an opportunity to make a statement if they so desire and are expected to be available to respond to appropriate questions by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Firm Fees</w:t>
      </w:r>
    </w:p>
    <w:p>
      <w:pPr>
        <w:spacing w:after="0" w:line="202" w:lineRule="exact"/>
        <w:rPr>
          <w:sz w:val="20"/>
          <w:szCs w:val="20"/>
          <w:color w:val="auto"/>
        </w:rPr>
      </w:pPr>
    </w:p>
    <w:p>
      <w:pPr>
        <w:ind w:right="280" w:firstLine="648"/>
        <w:spacing w:after="0" w:line="329" w:lineRule="auto"/>
        <w:rPr>
          <w:sz w:val="20"/>
          <w:szCs w:val="20"/>
          <w:color w:val="auto"/>
        </w:rPr>
      </w:pPr>
      <w:r>
        <w:rPr>
          <w:rFonts w:ascii="Times New Roman" w:cs="Times New Roman" w:eastAsia="Times New Roman" w:hAnsi="Times New Roman"/>
          <w:sz w:val="18"/>
          <w:szCs w:val="18"/>
          <w:color w:val="auto"/>
        </w:rPr>
        <w:t>Aggregate fees for services rendered to the Company for the years ended December 31, 2025 and 2024 by the Company’s principal accounting firm for such years, Deloitte,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Service</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5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7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707,176</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825,470</w:t>
            </w: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264,807</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390,357</w:t>
            </w: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75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971,983</w:t>
            </w: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1,215,827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3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professional services performed in connection with (i) the audit of the Company’s annual financial statements and internal</w:t>
      </w:r>
    </w:p>
    <w:p>
      <w:pPr>
        <w:spacing w:after="0" w:line="49" w:lineRule="exact"/>
        <w:rPr>
          <w:rFonts w:ascii="Times New Roman" w:cs="Times New Roman" w:eastAsia="Times New Roman" w:hAnsi="Times New Roman"/>
          <w:sz w:val="18"/>
          <w:szCs w:val="18"/>
          <w:color w:val="auto"/>
        </w:rPr>
      </w:pPr>
    </w:p>
    <w:p>
      <w:pPr>
        <w:jc w:val="both"/>
        <w:ind w:left="660" w:right="8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over financial reporting, (ii) the statutory audits of the financial statements of five subsidiaries of the Company in 2025 and 2024, (iii) the review of financial statements included in its Quarterly Reports on Form 10-Q, (iv) procedures related to consents and assistance with and review of documents filed with the SEC, and (v) other services related to (and necessary for) the audit of the Company’s financial statements.</w:t>
      </w:r>
    </w:p>
    <w:p>
      <w:pPr>
        <w:spacing w:after="0" w:line="1" w:lineRule="exact"/>
        <w:rPr>
          <w:rFonts w:ascii="Times New Roman" w:cs="Times New Roman" w:eastAsia="Times New Roman" w:hAnsi="Times New Roman"/>
          <w:sz w:val="18"/>
          <w:szCs w:val="18"/>
          <w:color w:val="auto"/>
        </w:rPr>
      </w:pPr>
    </w:p>
    <w:p>
      <w:pPr>
        <w:ind w:left="660" w:right="320" w:hanging="328"/>
        <w:spacing w:after="0" w:line="234"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by Deloitte in 2025 and 2024 for tax services. Tax services consisted of tax return preparation, REIT compliance work, and tax consulting.</w:t>
      </w:r>
    </w:p>
    <w:p>
      <w:pPr>
        <w:spacing w:after="0" w:line="14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Approval Policies</w:t>
      </w:r>
    </w:p>
    <w:p>
      <w:pPr>
        <w:spacing w:after="0" w:line="333"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Audit Committee’s charter requires review and pre-approval by the Audit Committee of all audit and permissible non-audit services provided by our outside auditors. The Audit Committee pre-approved all audit services provided by our outside auditors during fiscal years 2025 and 2024 and the fees paid for such services. The Audit Committee may, in its discretion, delegate to one or more of its members the authority to pre-approve any audit or non-audit services to be performed by the independent auditors, provided that any such approvals are presented to the Committee at its next scheduled meeting.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right="120" w:firstLine="648"/>
        <w:spacing w:after="0" w:line="302"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reports of holdings and transactions in our securities with the SEC. Executive officers, directors and any person who beneficially owns 10% or more of the shares of any class of our equity securities are required by applicable regulations to furnish us with copies of all Section 16(a) forms they file with the SEC.</w:t>
      </w:r>
    </w:p>
    <w:p>
      <w:pPr>
        <w:spacing w:after="0" w:line="11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With respect to each of Mr. Bech, Mr. Bryant, Ms. Edwards and Ms. Wong, a Form 4 relating to a grant of restricted shares was not timely reported due to an administrative error by the Company. Based solely upon a review of reports filed under Section 16(a) of the Exchange Act, the Company is not aware of other failures.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ind w:right="140" w:firstLine="648"/>
        <w:spacing w:after="0" w:line="305" w:lineRule="auto"/>
        <w:rPr>
          <w:sz w:val="20"/>
          <w:szCs w:val="20"/>
          <w:color w:val="auto"/>
        </w:rPr>
      </w:pPr>
      <w:r>
        <w:rPr>
          <w:rFonts w:ascii="Times New Roman" w:cs="Times New Roman" w:eastAsia="Times New Roman" w:hAnsi="Times New Roman"/>
          <w:sz w:val="18"/>
          <w:szCs w:val="18"/>
          <w:color w:val="auto"/>
        </w:rPr>
        <w:t>Management does not intend to present any business at the Annual Meeting not mentioned in this proxy statement, and at the time of preparation of this proxy statement knows of no other business to be presented. If any other matters are properly brought before the Annual Meeting, the appointed proxies will vote all proxies on such matters in their discretion.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w:t>
      </w:r>
    </w:p>
    <w:p>
      <w:pPr>
        <w:spacing w:after="0" w:line="189" w:lineRule="exact"/>
        <w:rPr>
          <w:sz w:val="20"/>
          <w:szCs w:val="20"/>
          <w:color w:val="auto"/>
        </w:rPr>
      </w:pPr>
    </w:p>
    <w:p>
      <w:pPr>
        <w:ind w:right="120" w:firstLine="648"/>
        <w:spacing w:after="0" w:line="245" w:lineRule="exact"/>
        <w:rPr>
          <w:sz w:val="20"/>
          <w:szCs w:val="20"/>
          <w:color w:val="auto"/>
        </w:rPr>
      </w:pPr>
      <w:r>
        <w:rPr>
          <w:rFonts w:ascii="Times New Roman" w:cs="Times New Roman" w:eastAsia="Times New Roman" w:hAnsi="Times New Roman"/>
          <w:sz w:val="18"/>
          <w:szCs w:val="18"/>
          <w:color w:val="auto"/>
        </w:rPr>
        <w:t>The deadline for submission of stockholder proposals in our proxy statement and form of proxy for the annual meeting of stockholders of the Company to be held in 2027 (the “2027 Annual Meeting”), calculated in accordance with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Exchange Act (“Rule 14a-8”), is February 25, 2027. Any such proposal must also comply with the other requirements of Rule 14a-8.</w:t>
      </w:r>
    </w:p>
    <w:p>
      <w:pPr>
        <w:spacing w:after="0" w:line="186" w:lineRule="exact"/>
        <w:rPr>
          <w:sz w:val="20"/>
          <w:szCs w:val="20"/>
          <w:color w:val="auto"/>
        </w:rPr>
      </w:pPr>
    </w:p>
    <w:p>
      <w:pPr>
        <w:ind w:right="80" w:firstLine="648"/>
        <w:spacing w:after="0" w:line="246" w:lineRule="exact"/>
        <w:rPr>
          <w:sz w:val="20"/>
          <w:szCs w:val="20"/>
          <w:color w:val="auto"/>
        </w:rPr>
      </w:pPr>
      <w:r>
        <w:rPr>
          <w:rFonts w:ascii="Times New Roman" w:cs="Times New Roman" w:eastAsia="Times New Roman" w:hAnsi="Times New Roman"/>
          <w:sz w:val="17"/>
          <w:szCs w:val="17"/>
          <w:color w:val="auto"/>
        </w:rPr>
        <w:t>Under our current bylaws, a stockholder is only eligible to submit a stockholder proposal, including a proposal for the nomination of one or more directors, outside the processes of Rule 14a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if the stockholder is (1) a stockholder of record both at the time of giving notice and at the time of the 2027 Annual Meeting, (2) is entitled to vote at the 2027 Annual Meeting, and (3) satisfies the requirements in our current bylaws with respect to such proposal. Our current bylaws require that such stockholder provide timely notice of the proposal or nomination, including all of the information required by our current bylaws, to the Company, addressed to Secretary of the Company, 4700 Wilshire Boulevard, Los Angeles, California 90010. To be timely under our current bylaws, we generally must receive advance notice of the proposal no earlier than January 26, 2027 and no later than 5:00 p.m. Eastern Time on</w:t>
      </w:r>
    </w:p>
    <w:p>
      <w:pPr>
        <w:spacing w:after="0" w:line="6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February 25, 2027. However, in the event that the 2027 Annual Meeting is held before June 30, 2027 or after August 29, 2027, advance notice will be timely if received by the Company no earlier than 150 days prior to the date of the 2027 Annual Meeting and not later than 5:00 p.m. Eastern Time on the later of (a) 120 days prior to the date of the 2027 Annual Meeting and (b) the tenth day following the day on which we first made a public announcement of the date of the 2027 Annual Meeting. In addition to satisfying the deadlines in the advance notice provisions of the Company’s bylaws, a stockholder who intends to solicit proxies in support of nominees submitted under these advance notice provisions must also comply with the additional requirements of Exchange Act Rule 14a-19, including providing the notice required under Exchange Act Rule 14a-19(b) no later than May 31, 2027.</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AVAILABILITY OF DOCUMENTS</w:t>
      </w:r>
    </w:p>
    <w:p>
      <w:pPr>
        <w:spacing w:after="0" w:line="189" w:lineRule="exact"/>
        <w:rPr>
          <w:sz w:val="20"/>
          <w:szCs w:val="20"/>
          <w:color w:val="auto"/>
        </w:rPr>
      </w:pPr>
    </w:p>
    <w:p>
      <w:pPr>
        <w:ind w:firstLine="648"/>
        <w:spacing w:after="0" w:line="248" w:lineRule="exact"/>
        <w:rPr>
          <w:sz w:val="20"/>
          <w:szCs w:val="20"/>
          <w:color w:val="auto"/>
        </w:rPr>
      </w:pPr>
      <w:r>
        <w:rPr>
          <w:rFonts w:ascii="Times New Roman" w:cs="Times New Roman" w:eastAsia="Times New Roman" w:hAnsi="Times New Roman"/>
          <w:sz w:val="18"/>
          <w:szCs w:val="18"/>
          <w:color w:val="auto"/>
        </w:rPr>
        <w:t>We have provided, without charge, to each person being solicited by this proxy statement, a copy of this proxy statement and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including the consolidated financial statements contained therein (excluding exhibits thereto) and the Amendment No. 1 thereto. Upon the written request by any person being solicited by this proxy statement, we will provide upon the payment of a reasonable fee as we may specify to cover our expenses, copies of the exhibits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All requests should be directed to the Company’s Stockholder Relations Department by writing to 4700 Wilshire Boulevard, Los Angeles, California 90010 or emailing shareholders@creativemediacommunity.com.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REDUCE DUPLICATE MAILINGS</w:t>
      </w:r>
    </w:p>
    <w:p>
      <w:pPr>
        <w:spacing w:after="0" w:line="189"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(for example, brokers) to satisfy the delivery requirements for proxy statements and annual reports with respect to two or more stockholders sharing the same address by delivering a single proxy statement addressed to those stockholders. A number of brokers with account holders who are stockholders of the Company “household” the Company’s proxy materials in this manner. If you are an affected stockholder and no longer wish to participate in householding, or if you are receiving multiple copies of the proxy statement or the Notice and wish to receive only one, please notify your broker, if your shares are held in a brokerage account, or our transfer agent, Computershare Trust Company, N.A. at 150 Royall Street, Suite 101, Canton, MA 02021 or (781) 575-4553 if you are the record holder of your shares.</w:t>
      </w:r>
    </w:p>
    <w:p>
      <w:pPr>
        <w:spacing w:after="0" w:line="124" w:lineRule="exact"/>
        <w:rPr>
          <w:sz w:val="20"/>
          <w:szCs w:val="20"/>
          <w:color w:val="auto"/>
        </w:rPr>
      </w:pPr>
    </w:p>
    <w:p>
      <w:pPr>
        <w:ind w:right="340" w:firstLine="648"/>
        <w:spacing w:after="0" w:line="305" w:lineRule="auto"/>
        <w:rPr>
          <w:sz w:val="20"/>
          <w:szCs w:val="20"/>
          <w:color w:val="auto"/>
        </w:rPr>
      </w:pPr>
      <w:r>
        <w:rPr>
          <w:rFonts w:ascii="Times New Roman" w:cs="Times New Roman" w:eastAsia="Times New Roman" w:hAnsi="Times New Roman"/>
          <w:sz w:val="18"/>
          <w:szCs w:val="18"/>
          <w:color w:val="auto"/>
        </w:rPr>
        <w:t>Additionally, we will deliver promptly to any affected stockholder an additional copy of the proxy statement, annual report and/or Notice of Internet Availability of Proxy Materials, as applicable, upon a written or oral request made to the Stockholder Relations Department of the Company at 4700 Wilshire Boulevard, Los Angeles, California 90010 or (866) 242-1266.</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spacing w:after="0" w:line="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questions about the proposals to be presented at the Annual Meeting, you should contact the Company by telephone or in writing:</w:t>
      </w:r>
    </w:p>
    <w:p>
      <w:pPr>
        <w:spacing w:after="0" w:line="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Creative Media &amp; Community Trust Corporation</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4700 Wilshire Boulevard</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Los Angeles, California 90010</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Stockholder Relations</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(866) 242-1266</w:t>
      </w:r>
    </w:p>
    <w:p>
      <w:pPr>
        <w:spacing w:after="0" w:line="200" w:lineRule="exact"/>
        <w:rPr>
          <w:sz w:val="20"/>
          <w:szCs w:val="20"/>
          <w:color w:val="auto"/>
        </w:rPr>
      </w:pPr>
    </w:p>
    <w:p>
      <w:pPr>
        <w:spacing w:after="0" w:line="34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980" w:top="1440" w:right="7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ANNUAL MEETING OF STOCKHOLDERS OF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CREATIVE MEDIA &amp; COMMUNITY TRUST CORPORATION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30, 2026</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 GREEN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NOTICE OF INTERNET AVAILABILITY OF PROXY MATERIAL:</w:t>
      </w:r>
    </w:p>
    <w:p>
      <w:pPr>
        <w:spacing w:after="0" w:line="210" w:lineRule="exact"/>
        <w:rPr>
          <w:sz w:val="20"/>
          <w:szCs w:val="20"/>
          <w:color w:val="auto"/>
        </w:rPr>
      </w:pPr>
    </w:p>
    <w:p>
      <w:pPr>
        <w:jc w:val="both"/>
        <w:ind w:left="2640" w:right="2640" w:firstLine="51"/>
        <w:spacing w:after="0" w:line="333" w:lineRule="auto"/>
        <w:rPr>
          <w:sz w:val="20"/>
          <w:szCs w:val="20"/>
          <w:color w:val="auto"/>
        </w:rPr>
      </w:pPr>
      <w:r>
        <w:rPr>
          <w:rFonts w:ascii="Times New Roman" w:cs="Times New Roman" w:eastAsia="Times New Roman" w:hAnsi="Times New Roman"/>
          <w:sz w:val="16"/>
          <w:szCs w:val="16"/>
          <w:color w:val="auto"/>
        </w:rPr>
        <w:t>The Notice of Meeting, proxy statement, proxy card and Annual Report on Form 10-K are available at https://shareholders.creativemediacommunity.com/financials/sec-filings.</w:t>
      </w:r>
    </w:p>
    <w:p>
      <w:pPr>
        <w:spacing w:after="0" w:line="173" w:lineRule="exact"/>
        <w:rPr>
          <w:sz w:val="20"/>
          <w:szCs w:val="20"/>
          <w:color w:val="auto"/>
        </w:rPr>
      </w:pPr>
    </w:p>
    <w:p>
      <w:pPr>
        <w:jc w:val="center"/>
        <w:spacing w:after="0" w:line="329" w:lineRule="auto"/>
        <w:rPr>
          <w:sz w:val="20"/>
          <w:szCs w:val="20"/>
          <w:color w:val="auto"/>
        </w:rPr>
      </w:pPr>
      <w:r>
        <w:rPr>
          <w:rFonts w:ascii="Times New Roman" w:cs="Times New Roman" w:eastAsia="Times New Roman" w:hAnsi="Times New Roman"/>
          <w:sz w:val="18"/>
          <w:szCs w:val="18"/>
          <w:color w:val="auto"/>
        </w:rPr>
        <w:t xml:space="preserve">The meeting will be held as a virtual meeting conducted exclusively via live webcast at </w:t>
      </w:r>
      <w:r>
        <w:rPr>
          <w:rFonts w:ascii="Times New Roman" w:cs="Times New Roman" w:eastAsia="Times New Roman" w:hAnsi="Times New Roman"/>
          <w:sz w:val="18"/>
          <w:szCs w:val="18"/>
          <w:u w:val="single" w:color="auto"/>
          <w:color w:val="0000FF"/>
        </w:rPr>
        <w:t>https://meetnow.global/M5UFTJT</w:t>
      </w:r>
      <w:r>
        <w:rPr>
          <w:rFonts w:ascii="Times New Roman" w:cs="Times New Roman" w:eastAsia="Times New Roman" w:hAnsi="Times New Roman"/>
          <w:sz w:val="18"/>
          <w:szCs w:val="18"/>
          <w:color w:val="auto"/>
        </w:rPr>
        <w:t>, please follow the instructions under question 6 in the proxy statement.</w:t>
      </w:r>
    </w:p>
    <w:p>
      <w:pPr>
        <w:spacing w:after="0" w:line="9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Please sign, date and mail</w:t>
      </w:r>
    </w:p>
    <w:p>
      <w:pPr>
        <w:spacing w:after="0" w:line="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your proxy card in the</w:t>
      </w:r>
    </w:p>
    <w:p>
      <w:pPr>
        <w:spacing w:after="0" w:line="4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envelope provided as soon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possible.</w:t>
      </w:r>
    </w:p>
    <w:p>
      <w:pPr>
        <w:sectPr>
          <w:pgSz w:w="11900" w:h="16838" w:orient="portrait"/>
          <w:cols w:equalWidth="0" w:num="1">
            <w:col w:w="11000"/>
          </w:cols>
          <w:pgMar w:left="440" w:top="58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80" w:right="4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54700" cy="7560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6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54700" cy="7500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0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CREATIVE MEDIA &amp; COMMUNITY TRUST CORPORATION</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Creative Media &amp; Community Trust Corporation 2026 Equity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help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hereinafter defined):</w:t>
      </w:r>
    </w:p>
    <w:p>
      <w:pPr>
        <w:spacing w:after="0" w:line="50"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Grantees (as hereinafter defined) with the Company’s stockholders; and</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ownership of the Company’s equity.</w:t>
      </w:r>
    </w:p>
    <w:p>
      <w:pPr>
        <w:spacing w:after="0" w:line="2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Definitions of Certain Terms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Plan, the following terms have the meanings set forth below:</w:t>
      </w:r>
    </w:p>
    <w:p>
      <w:pPr>
        <w:spacing w:after="0" w:line="2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Award</w:t>
      </w:r>
      <w:r>
        <w:rPr>
          <w:rFonts w:ascii="Times New Roman" w:cs="Times New Roman" w:eastAsia="Times New Roman" w:hAnsi="Times New Roman"/>
          <w:sz w:val="17"/>
          <w:szCs w:val="17"/>
          <w:color w:val="auto"/>
        </w:rPr>
        <w:t>” means an award made pursuant to the Plan.</w:t>
      </w:r>
    </w:p>
    <w:p>
      <w:pPr>
        <w:spacing w:after="0" w:line="279" w:lineRule="exact"/>
        <w:rPr>
          <w:sz w:val="20"/>
          <w:szCs w:val="20"/>
          <w:color w:val="auto"/>
        </w:rPr>
      </w:pPr>
    </w:p>
    <w:p>
      <w:pPr>
        <w:ind w:firstLine="648"/>
        <w:spacing w:after="0" w:line="304"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herein to an agreement in writing will be deemed to include an electronic writing to the extent permitted by applicable law.</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93" w:lineRule="exact"/>
        <w:rPr>
          <w:sz w:val="20"/>
          <w:szCs w:val="20"/>
          <w:color w:val="auto"/>
        </w:rPr>
      </w:pPr>
    </w:p>
    <w:p>
      <w:pPr>
        <w:ind w:right="260" w:firstLine="648"/>
        <w:spacing w:after="0" w:line="333"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thereto, and the applicable rulings and regulations thereunder.</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Committee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w:t>
      </w:r>
    </w:p>
    <w:p>
      <w:pPr>
        <w:spacing w:after="0" w:line="293" w:lineRule="exact"/>
        <w:rPr>
          <w:sz w:val="20"/>
          <w:szCs w:val="20"/>
          <w:color w:val="auto"/>
        </w:rPr>
      </w:pPr>
    </w:p>
    <w:p>
      <w:pPr>
        <w:ind w:right="180" w:firstLine="648"/>
        <w:spacing w:after="0" w:line="31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means the common stock of the Company, par value $0.001 per share, and any other securities or property issued in exchange therefor or in lieu thereof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means Creative Media &amp; Community Trust Corporation.</w:t>
      </w:r>
    </w:p>
    <w:p>
      <w:pPr>
        <w:spacing w:after="0" w:line="279" w:lineRule="exact"/>
        <w:rPr>
          <w:sz w:val="20"/>
          <w:szCs w:val="20"/>
          <w:color w:val="auto"/>
        </w:rPr>
      </w:pPr>
    </w:p>
    <w:p>
      <w:pPr>
        <w:ind w:right="40" w:firstLine="648"/>
        <w:spacing w:after="0" w:line="290"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with respect to a Share, (i) the closing sales price per Share on the national securities exchange on which the Shares are principally traded, for the last preceding date on which there was a sale of such Shares on such exchange; (ii) if the Shares are then traded in an over-the-counter market, the average of the closing bid and asked prices for the Shares in such over-the-counter market for the last preceding date on which there was a sale of such Shares in such market; or (iii) if the Shares are not then listed on a national securities exchange or traded in an over-the-counter market, such value as the Committee, in its sole discretion, shall determine, unless determined as otherwise specified herein or in any applicable Award Agreement. For purposes of the grant of any Award, the applicable date will be the trading day on which the Award is granted or, if the date the Award is granted is not a trading day, the trading day immediately prior to the date the Award is granted.</w:t>
      </w:r>
    </w:p>
    <w:p>
      <w:pPr>
        <w:spacing w:after="0" w:line="4"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1.2.9</w:t>
        <w:tab/>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Grantee</w:t>
      </w:r>
      <w:r>
        <w:rPr>
          <w:rFonts w:ascii="Times New Roman" w:cs="Times New Roman" w:eastAsia="Times New Roman" w:hAnsi="Times New Roman"/>
          <w:sz w:val="17"/>
          <w:szCs w:val="17"/>
          <w:color w:val="auto"/>
        </w:rPr>
        <w:t>” means a Non-Employee Director who receives an Award under the Plan.</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7" w:name="page48"/>
    <w:bookmarkEnd w:id="47"/>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Non-Employee Director</w:t>
      </w:r>
      <w:r>
        <w:rPr>
          <w:rFonts w:ascii="Times New Roman" w:cs="Times New Roman" w:eastAsia="Times New Roman" w:hAnsi="Times New Roman"/>
          <w:sz w:val="17"/>
          <w:szCs w:val="17"/>
          <w:color w:val="auto"/>
        </w:rPr>
        <w:t>” means a member of the Board who is not an employee of the Company.</w:t>
      </w:r>
    </w:p>
    <w:p>
      <w:pPr>
        <w:spacing w:after="0" w:line="279"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 means shares of Common Stock.</w:t>
      </w:r>
    </w:p>
    <w:p>
      <w:pPr>
        <w:spacing w:after="0" w:line="293" w:lineRule="exact"/>
        <w:rPr>
          <w:sz w:val="20"/>
          <w:szCs w:val="20"/>
          <w:color w:val="auto"/>
        </w:rPr>
      </w:pPr>
    </w:p>
    <w:p>
      <w:pPr>
        <w:ind w:right="40" w:firstLine="648"/>
        <w:spacing w:after="0" w:line="307" w:lineRule="auto"/>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19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97" w:lineRule="exact"/>
        <w:rPr>
          <w:sz w:val="20"/>
          <w:szCs w:val="20"/>
          <w:color w:val="auto"/>
        </w:rPr>
      </w:pPr>
    </w:p>
    <w:p>
      <w:pPr>
        <w:ind w:right="1060" w:firstLine="648"/>
        <w:spacing w:after="0" w:line="289" w:lineRule="auto"/>
        <w:rPr>
          <w:sz w:val="20"/>
          <w:szCs w:val="20"/>
          <w:color w:val="auto"/>
        </w:rPr>
      </w:pPr>
      <w:r>
        <w:rPr>
          <w:rFonts w:ascii="Times New Roman" w:cs="Times New Roman" w:eastAsia="Times New Roman" w:hAnsi="Times New Roman"/>
          <w:sz w:val="18"/>
          <w:szCs w:val="18"/>
          <w:color w:val="auto"/>
        </w:rPr>
        <w:t>1.3.1 The Board or any committee or sub-committee of the Board as designated by the Board from time to time (collectively, the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will administer the Plan. In particular, the Committee will have the authority in its sole discretion to:</w:t>
      </w:r>
    </w:p>
    <w:p>
      <w:pPr>
        <w:spacing w:after="0" w:line="1" w:lineRule="exact"/>
        <w:rPr>
          <w:sz w:val="20"/>
          <w:szCs w:val="20"/>
          <w:color w:val="auto"/>
        </w:rPr>
      </w:pPr>
    </w:p>
    <w:p>
      <w:pPr>
        <w:ind w:left="1780" w:hanging="476"/>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of the powers granted to it under the Plan;</w:t>
      </w:r>
    </w:p>
    <w:p>
      <w:pPr>
        <w:spacing w:after="0" w:line="2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implement the Plan and all Award Agreements;</w:t>
      </w:r>
    </w:p>
    <w:p>
      <w:pPr>
        <w:spacing w:after="0" w:line="292"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the Plan, including rules governing the Committee’s own operations;</w:t>
      </w:r>
    </w:p>
    <w:p>
      <w:pPr>
        <w:spacing w:after="0" w:line="2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Plan;</w:t>
      </w:r>
    </w:p>
    <w:p>
      <w:pPr>
        <w:spacing w:after="0" w:line="292"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to reflect changes in applicable law; and</w:t>
      </w:r>
    </w:p>
    <w:p>
      <w:pPr>
        <w:spacing w:after="0" w:line="292" w:lineRule="exact"/>
        <w:rPr>
          <w:rFonts w:ascii="Times New Roman" w:cs="Times New Roman" w:eastAsia="Times New Roman" w:hAnsi="Times New Roman"/>
          <w:sz w:val="18"/>
          <w:szCs w:val="18"/>
          <w:color w:val="auto"/>
        </w:rPr>
      </w:pPr>
    </w:p>
    <w:p>
      <w:pPr>
        <w:ind w:right="80" w:firstLine="1304"/>
        <w:spacing w:after="0" w:line="313" w:lineRule="auto"/>
        <w:tabs>
          <w:tab w:leader="none" w:pos="16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recommend to the Board for approval to grant, Awards and determine who will receive Awards, when such Awards will be granted and the terms of such Awards.</w:t>
      </w:r>
    </w:p>
    <w:p>
      <w:pPr>
        <w:spacing w:after="0" w:line="20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1.3.2 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Plan or any Award Agreement will be final, binding and conclusive.</w:t>
      </w:r>
    </w:p>
    <w:p>
      <w:pPr>
        <w:spacing w:after="0" w:line="2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Persons Eligible for Awards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under the Plan may only be made to Non-Employee Directors of the Company (or any successor manager).</w:t>
      </w:r>
    </w:p>
    <w:p>
      <w:pPr>
        <w:spacing w:after="0" w:line="2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Types of Awards Under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may be made under the Plan in the form of restricted Shares or restricted stock units.</w:t>
      </w:r>
    </w:p>
    <w:p>
      <w:pPr>
        <w:spacing w:after="0" w:line="2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Shares of Common Stock Available for Awards</w:t>
      </w:r>
    </w:p>
    <w:p>
      <w:pPr>
        <w:spacing w:after="0" w:line="279" w:lineRule="exact"/>
        <w:rPr>
          <w:sz w:val="20"/>
          <w:szCs w:val="20"/>
          <w:color w:val="auto"/>
        </w:rPr>
      </w:pPr>
    </w:p>
    <w:p>
      <w:pPr>
        <w:ind w:right="140" w:firstLine="648"/>
        <w:spacing w:after="0" w:line="304"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u w:val="single" w:color="auto"/>
          <w:color w:val="auto"/>
        </w:rPr>
        <w:t>Common Stock Subject to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total number of Shares that may be granted under the Plan will be 250,000. Shares subject to an Award that is forfeited,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w:t>
      </w:r>
    </w:p>
    <w:p>
      <w:pPr>
        <w:spacing w:after="0" w:line="207" w:lineRule="exact"/>
        <w:rPr>
          <w:sz w:val="20"/>
          <w:szCs w:val="20"/>
          <w:color w:val="auto"/>
        </w:rPr>
      </w:pPr>
    </w:p>
    <w:p>
      <w:pPr>
        <w:ind w:right="180" w:firstLine="648"/>
        <w:spacing w:after="0" w:line="31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will (a) adjust the number of Shares authorized pursuant to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 and (b) adjust the terms of any outstanding Awards (including, without limitation, the number of Shares covered by each</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48" w:name="page49"/>
    <w:bookmarkEnd w:id="48"/>
    <w:p>
      <w:pPr>
        <w:ind w:right="80"/>
        <w:spacing w:after="0" w:line="297" w:lineRule="auto"/>
        <w:rPr>
          <w:sz w:val="20"/>
          <w:szCs w:val="20"/>
          <w:color w:val="auto"/>
        </w:rPr>
      </w:pPr>
      <w:r>
        <w:rPr>
          <w:rFonts w:ascii="Times New Roman" w:cs="Times New Roman" w:eastAsia="Times New Roman" w:hAnsi="Times New Roman"/>
          <w:sz w:val="18"/>
          <w:szCs w:val="18"/>
          <w:color w:val="auto"/>
        </w:rPr>
        <w:t>outstanding Award and the type of property or securities to which the Award relates), in each case, 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w:t>
      </w:r>
    </w:p>
    <w:p>
      <w:pPr>
        <w:spacing w:after="0" w:line="200"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50"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Agreements Evidencing Awards</w:t>
      </w:r>
    </w:p>
    <w:p>
      <w:pPr>
        <w:spacing w:after="0" w:line="297" w:lineRule="exact"/>
        <w:rPr>
          <w:sz w:val="20"/>
          <w:szCs w:val="20"/>
          <w:color w:val="auto"/>
        </w:rPr>
      </w:pPr>
    </w:p>
    <w:p>
      <w:pPr>
        <w:jc w:val="both"/>
        <w:ind w:right="180"/>
        <w:spacing w:after="0" w:line="305" w:lineRule="auto"/>
        <w:rPr>
          <w:sz w:val="20"/>
          <w:szCs w:val="20"/>
          <w:color w:val="auto"/>
        </w:rPr>
      </w:pPr>
      <w:r>
        <w:rPr>
          <w:rFonts w:ascii="Times New Roman" w:cs="Times New Roman" w:eastAsia="Times New Roman" w:hAnsi="Times New Roman"/>
          <w:sz w:val="18"/>
          <w:szCs w:val="18"/>
          <w:color w:val="auto"/>
        </w:rPr>
        <w:t>Each Award granted under the Plan will be evidenced by an Award Agreement that will contain such provisions and conditions as the Committee deems appropriate. By accepting an Award pursuant to the Plan, a Grantee thereby agrees that the Award will be subject to all of the terms and provisions of the Plan and the applicable Award Agreement.</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 Rights as a Stockholder</w:t>
      </w:r>
    </w:p>
    <w:p>
      <w:pPr>
        <w:spacing w:after="0" w:line="297"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No Grantee (or other person having rights pursuant to an Award) will have any of the rights of a stockholder of the Company with respect to Shares subject to an Award until the delivery of such Shares. Except as otherwise provided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no adjustments will be made for dividends, distributions or other rights (whether ordinary or extraordinary, and whether in cash, Common Stock, other securities or other property) for which the record date is before the date the certificates for the Shares are delivered, or in the event the Committee elects to use another system, such as book entries by the transfer agent, before the date in which such system evidences the Grantee’s ownership of such Shares.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279" w:lineRule="exact"/>
        <w:rPr>
          <w:sz w:val="20"/>
          <w:szCs w:val="20"/>
          <w:color w:val="auto"/>
        </w:rPr>
      </w:pPr>
    </w:p>
    <w:p>
      <w:pPr>
        <w:ind w:right="140" w:firstLine="648"/>
        <w:spacing w:after="0" w:line="307"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may grant restricted Shares in such amounts and subject to such terms and conditions as the Committee may determine. Upon delivery of restricted Shares, the Grantee will have the rights of a stockholder with respect to such restricted Shares, subject to any other restrictions and conditions as the Committee may include in the applicable Award Agreement.</w:t>
      </w:r>
    </w:p>
    <w:p>
      <w:pPr>
        <w:spacing w:after="0" w:line="205"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Right to Vote and Receive Dividends on Restricted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back to the Company if for any reason the restricted Share upon which such dividends or other distributions were paid reverts back to the Company. Upon the expiration of the period of restriction, all such dividends or other distributions made on such restricted Share and retained by the Company will be paid to the relevant Grantee (without interest).</w:t>
      </w:r>
    </w:p>
    <w:p>
      <w:pPr>
        <w:spacing w:after="0" w:line="2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Restricted Stock Units</w:t>
      </w:r>
    </w:p>
    <w:p>
      <w:pPr>
        <w:spacing w:after="0" w:line="28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Committee may grant Awards of restricted stock units in such amounts and subject to such terms and conditions as the Committee may determine. A Grantee of a restricted stock unit will have only the rights of a general unsecured creditor of the Company,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a Share or a combination thereof,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9" w:name="page50"/>
    <w:bookmarkEnd w:id="4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Dividend Equivalent Rights</w:t>
      </w:r>
    </w:p>
    <w:p>
      <w:pPr>
        <w:spacing w:after="0" w:line="283"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color w:val="auto"/>
        </w:rPr>
        <w:t>The Committee may include in the Award Agreement with respect to any Award a dividend equivalent right entitling the Grantee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vesting of the Award to which they relate, the time or times at which they will be made, and such other terms and conditions as the Committee will deem appropriate.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Amendment of the Plan</w:t>
      </w:r>
    </w:p>
    <w:p>
      <w:pPr>
        <w:spacing w:after="0" w:line="297"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no such amendment may materially adversely impair the rights of the Grantee of any Award without the Grantee’s consent. Subject to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an Award Agreement may not be amended to materially adversely impair the rights of a Grantee without the Grantee’s consent.</w:t>
      </w:r>
    </w:p>
    <w:p>
      <w:pPr>
        <w:spacing w:after="0" w:line="200" w:lineRule="exact"/>
        <w:rPr>
          <w:sz w:val="20"/>
          <w:szCs w:val="20"/>
          <w:color w:val="auto"/>
        </w:rPr>
      </w:pPr>
    </w:p>
    <w:p>
      <w:pPr>
        <w:ind w:right="460" w:firstLine="648"/>
        <w:spacing w:after="0" w:line="329" w:lineRule="auto"/>
        <w:rPr>
          <w:sz w:val="20"/>
          <w:szCs w:val="20"/>
          <w:color w:val="auto"/>
        </w:rPr>
      </w:pPr>
      <w:r>
        <w:rPr>
          <w:rFonts w:ascii="Times New Roman" w:cs="Times New Roman" w:eastAsia="Times New Roman" w:hAnsi="Times New Roman"/>
          <w:sz w:val="18"/>
          <w:szCs w:val="18"/>
          <w:color w:val="auto"/>
        </w:rPr>
        <w:t>3.1.2 Unless otherwise determined by the Board, stockholder approval of any suspension, discontinuance, revision or amendment will be obtained only to the extent necessary to comply with any applicable laws, regulations or rules of a securities exchange or self-regulatory agency.</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297"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Grantees will be solely responsible for any applicable taxes (including, without limitation, income and excise taxes) and penalties, and any interest that accrues thereon, that they incur in connection with the receipt, vesting or disposition of any Award or Shares.</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Nonassignability; No Hedging</w:t>
      </w:r>
    </w:p>
    <w:p>
      <w:pPr>
        <w:spacing w:after="0" w:line="283"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Unless otherwise determined by the Committee or provided in an Award Agreement, no Award (or any rights and obligations thereunder) granted to any person under the Plan may be sold, exchanged, transferred, assigned, pledged, hypothecated or otherwise disposed of or hedged, in any manner, other than by will or by the laws of descent and distribution.</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No Continued Engagement; Right of Discharge Reserved</w:t>
      </w:r>
    </w:p>
    <w:p>
      <w:pPr>
        <w:spacing w:after="0" w:line="283" w:lineRule="exact"/>
        <w:rPr>
          <w:sz w:val="20"/>
          <w:szCs w:val="20"/>
          <w:color w:val="auto"/>
        </w:rPr>
      </w:pPr>
    </w:p>
    <w:p>
      <w:pPr>
        <w:jc w:val="both"/>
        <w:ind w:right="160"/>
        <w:spacing w:after="0" w:line="305" w:lineRule="auto"/>
        <w:rPr>
          <w:sz w:val="20"/>
          <w:szCs w:val="20"/>
          <w:color w:val="auto"/>
        </w:rPr>
      </w:pPr>
      <w:r>
        <w:rPr>
          <w:rFonts w:ascii="Times New Roman" w:cs="Times New Roman" w:eastAsia="Times New Roman" w:hAnsi="Times New Roman"/>
          <w:sz w:val="18"/>
          <w:szCs w:val="18"/>
          <w:color w:val="auto"/>
        </w:rPr>
        <w:t>Neither the adoption of the Plan nor the grant of any Award (or any provision in the Plan or Award Agreement) will confer upon any Grantee any right to continued engagement with the Company, nor will it interfere in any way with the right of the Company to terminate, or alter the terms and conditions of, such engagement at any time.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Nature of Payments</w:t>
      </w:r>
    </w:p>
    <w:p>
      <w:pPr>
        <w:spacing w:after="0" w:line="297" w:lineRule="exact"/>
        <w:rPr>
          <w:sz w:val="20"/>
          <w:szCs w:val="20"/>
          <w:color w:val="auto"/>
        </w:rPr>
      </w:pPr>
    </w:p>
    <w:p>
      <w:pPr>
        <w:ind w:right="600"/>
        <w:spacing w:after="0" w:line="313" w:lineRule="auto"/>
        <w:rPr>
          <w:sz w:val="20"/>
          <w:szCs w:val="20"/>
          <w:color w:val="auto"/>
        </w:rPr>
      </w:pPr>
      <w:r>
        <w:rPr>
          <w:rFonts w:ascii="Times New Roman" w:cs="Times New Roman" w:eastAsia="Times New Roman" w:hAnsi="Times New Roman"/>
          <w:sz w:val="18"/>
          <w:szCs w:val="18"/>
          <w:color w:val="auto"/>
        </w:rPr>
        <w:t>Any and all grants of Awards and deliveries of Common Stock, cash, securities or other property under the Plan will be in consideration of services performed or to be performed for the Company by the Grantee.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0" w:name="page51"/>
    <w:bookmarkEnd w:id="5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Plan Headings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headings in the Plan are for the purpose of convenience only and are not intended to define or limit the construction of the provisions hereof.</w:t>
      </w:r>
    </w:p>
    <w:p>
      <w:pPr>
        <w:spacing w:after="0" w:line="2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Termination of Plan</w:t>
      </w:r>
    </w:p>
    <w:p>
      <w:pPr>
        <w:spacing w:after="0" w:line="283"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The Board reserves the right to terminate the Plan at any time; provided, however, that in any case, the Plan will terminate on the day before the tenth anniversary of the Effective Date, and provided further, that all Awards made under the Plan before its termination will remain in effect until such Awards have been satisfied or terminated in accordance with the terms and provisions of the Plan and the applicable Award Agreements.</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Clawback/Recapture Policy</w:t>
      </w:r>
    </w:p>
    <w:p>
      <w:pPr>
        <w:spacing w:after="0" w:line="283"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83" w:lineRule="exact"/>
        <w:rPr>
          <w:sz w:val="20"/>
          <w:szCs w:val="20"/>
          <w:color w:val="auto"/>
        </w:rPr>
      </w:pPr>
    </w:p>
    <w:p>
      <w:pPr>
        <w:ind w:right="80" w:firstLine="648"/>
        <w:spacing w:after="0" w:line="301" w:lineRule="auto"/>
        <w:rPr>
          <w:sz w:val="20"/>
          <w:szCs w:val="20"/>
          <w:color w:val="auto"/>
        </w:rPr>
      </w:pPr>
      <w:r>
        <w:rPr>
          <w:rFonts w:ascii="Times New Roman" w:cs="Times New Roman" w:eastAsia="Times New Roman" w:hAnsi="Times New Roman"/>
          <w:sz w:val="18"/>
          <w:szCs w:val="18"/>
          <w:color w:val="auto"/>
        </w:rPr>
        <w:t>3.9.1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Committee will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will govern.</w:t>
      </w:r>
    </w:p>
    <w:p>
      <w:pPr>
        <w:spacing w:after="0" w:line="201" w:lineRule="exact"/>
        <w:rPr>
          <w:sz w:val="20"/>
          <w:szCs w:val="20"/>
          <w:color w:val="auto"/>
        </w:rPr>
      </w:pPr>
    </w:p>
    <w:p>
      <w:pPr>
        <w:ind w:right="140" w:firstLine="648"/>
        <w:spacing w:after="0" w:line="329" w:lineRule="auto"/>
        <w:rPr>
          <w:sz w:val="20"/>
          <w:szCs w:val="20"/>
          <w:color w:val="auto"/>
        </w:rPr>
      </w:pPr>
      <w:r>
        <w:rPr>
          <w:rFonts w:ascii="Times New Roman" w:cs="Times New Roman" w:eastAsia="Times New Roman" w:hAnsi="Times New Roman"/>
          <w:sz w:val="18"/>
          <w:szCs w:val="18"/>
          <w:color w:val="auto"/>
        </w:rPr>
        <w:t xml:space="preserve">3.9.2 Without limiting the generality of </w:t>
      </w:r>
      <w:r>
        <w:rPr>
          <w:rFonts w:ascii="Times New Roman" w:cs="Times New Roman" w:eastAsia="Times New Roman" w:hAnsi="Times New Roman"/>
          <w:sz w:val="18"/>
          <w:szCs w:val="18"/>
          <w:u w:val="single" w:color="auto"/>
          <w:color w:val="auto"/>
        </w:rPr>
        <w:t>Section 3.9.1</w:t>
      </w:r>
      <w:r>
        <w:rPr>
          <w:rFonts w:ascii="Times New Roman" w:cs="Times New Roman" w:eastAsia="Times New Roman" w:hAnsi="Times New Roman"/>
          <w:sz w:val="18"/>
          <w:szCs w:val="18"/>
          <w:color w:val="auto"/>
        </w:rPr>
        <w:t>, with respect to any Award made under the Plan that is “deferred compensation” subject to Section 409A, in each case to the extent required to comply with Section 409A:</w:t>
      </w:r>
    </w:p>
    <w:p>
      <w:pPr>
        <w:spacing w:after="0" w:line="175" w:lineRule="exact"/>
        <w:rPr>
          <w:sz w:val="20"/>
          <w:szCs w:val="20"/>
          <w:color w:val="auto"/>
        </w:rPr>
      </w:pPr>
    </w:p>
    <w:p>
      <w:pPr>
        <w:ind w:right="40" w:firstLine="1223"/>
        <w:spacing w:after="0" w:line="329" w:lineRule="auto"/>
        <w:tabs>
          <w:tab w:leader="none" w:pos="1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upon a Grantee’s termination of engagement will be paid only upon such Grantee’s “separation from service” from the Company within the meaning of Section 409A;</w:t>
      </w:r>
    </w:p>
    <w:p>
      <w:pPr>
        <w:spacing w:after="0" w:line="175" w:lineRule="exact"/>
        <w:rPr>
          <w:rFonts w:ascii="Times New Roman" w:cs="Times New Roman" w:eastAsia="Times New Roman" w:hAnsi="Times New Roman"/>
          <w:sz w:val="18"/>
          <w:szCs w:val="18"/>
          <w:color w:val="auto"/>
        </w:rPr>
      </w:pPr>
    </w:p>
    <w:p>
      <w:pPr>
        <w:ind w:left="1660" w:hanging="437"/>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securities, other Awards or other property that the Company may deliver in lieu of Shares in respect of an Award will not</w:t>
      </w:r>
    </w:p>
    <w:p>
      <w:pPr>
        <w:spacing w:after="0" w:line="49" w:lineRule="exact"/>
        <w:rPr>
          <w:rFonts w:ascii="Times New Roman" w:cs="Times New Roman" w:eastAsia="Times New Roman" w:hAnsi="Times New Roman"/>
          <w:sz w:val="18"/>
          <w:szCs w:val="18"/>
          <w:color w:val="auto"/>
        </w:rPr>
      </w:pPr>
    </w:p>
    <w:p>
      <w:pPr>
        <w:ind w:right="36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w:t>
      </w:r>
    </w:p>
    <w:p>
      <w:pPr>
        <w:spacing w:after="0" w:line="178" w:lineRule="exact"/>
        <w:rPr>
          <w:rFonts w:ascii="Times New Roman" w:cs="Times New Roman" w:eastAsia="Times New Roman" w:hAnsi="Times New Roman"/>
          <w:sz w:val="18"/>
          <w:szCs w:val="18"/>
          <w:color w:val="auto"/>
        </w:rPr>
      </w:pPr>
    </w:p>
    <w:p>
      <w:pPr>
        <w:ind w:firstLine="1223"/>
        <w:spacing w:after="0" w:line="305" w:lineRule="auto"/>
        <w:tabs>
          <w:tab w:leader="none" w:pos="1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196" w:lineRule="exact"/>
        <w:rPr>
          <w:rFonts w:ascii="Times New Roman" w:cs="Times New Roman" w:eastAsia="Times New Roman" w:hAnsi="Times New Roman"/>
          <w:sz w:val="18"/>
          <w:szCs w:val="18"/>
          <w:color w:val="auto"/>
        </w:rPr>
      </w:pPr>
    </w:p>
    <w:p>
      <w:pPr>
        <w:ind w:right="720" w:firstLine="1223"/>
        <w:spacing w:after="0" w:line="329" w:lineRule="auto"/>
        <w:tabs>
          <w:tab w:leader="none" w:pos="1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188" w:lineRule="exact"/>
        <w:rPr>
          <w:rFonts w:ascii="Times New Roman" w:cs="Times New Roman" w:eastAsia="Times New Roman" w:hAnsi="Times New Roman"/>
          <w:sz w:val="18"/>
          <w:szCs w:val="18"/>
          <w:color w:val="auto"/>
        </w:rPr>
      </w:pPr>
    </w:p>
    <w:p>
      <w:pPr>
        <w:jc w:val="both"/>
        <w:ind w:right="140" w:firstLine="1223"/>
        <w:spacing w:after="0" w:line="306" w:lineRule="auto"/>
        <w:tabs>
          <w:tab w:leader="none" w:pos="1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whether the Grantee has experienced a separation from service from the Company within the meaning of Section 409A, “subsidiary” will mean a corporation or other entity in a chain of corporations or other entities in which each corporation or other entity,</w:t>
      </w:r>
    </w:p>
    <w:p>
      <w:pPr>
        <w:spacing w:after="0" w:line="1" w:lineRule="exact"/>
        <w:rPr>
          <w:rFonts w:ascii="Times New Roman" w:cs="Times New Roman" w:eastAsia="Times New Roman" w:hAnsi="Times New Roman"/>
          <w:sz w:val="17"/>
          <w:szCs w:val="17"/>
          <w:color w:val="auto"/>
        </w:rPr>
      </w:pPr>
    </w:p>
    <w:p>
      <w:pPr>
        <w:ind w:right="2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spacing w:after="0" w:line="313" w:lineRule="auto"/>
        <w:rPr>
          <w:sz w:val="20"/>
          <w:szCs w:val="20"/>
          <w:color w:val="auto"/>
        </w:rPr>
      </w:pPr>
      <w:r>
        <w:rPr>
          <w:rFonts w:ascii="Times New Roman" w:cs="Times New Roman" w:eastAsia="Times New Roman" w:hAnsi="Times New Roman"/>
          <w:sz w:val="18"/>
          <w:szCs w:val="18"/>
          <w:color w:val="auto"/>
        </w:rPr>
        <w:t>provided that the language “at least 20 percent” is used instead of “at least 80 percent” each place it appears in Section 1.414(c)-2(b)(2)(i) of the Treasury Regulations.</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3.10</w:t>
      </w:r>
      <w:r>
        <w:rPr>
          <w:sz w:val="20"/>
          <w:szCs w:val="20"/>
          <w:color w:val="auto"/>
        </w:rPr>
        <w:tab/>
      </w:r>
      <w:r>
        <w:rPr>
          <w:rFonts w:ascii="Times New Roman" w:cs="Times New Roman" w:eastAsia="Times New Roman" w:hAnsi="Times New Roman"/>
          <w:sz w:val="18"/>
          <w:szCs w:val="18"/>
          <w:b w:val="1"/>
          <w:bCs w:val="1"/>
          <w:color w:val="auto"/>
        </w:rPr>
        <w:t>Governing Law</w:t>
      </w:r>
    </w:p>
    <w:p>
      <w:pPr>
        <w:spacing w:after="0" w:line="283" w:lineRule="exact"/>
        <w:rPr>
          <w:sz w:val="20"/>
          <w:szCs w:val="20"/>
          <w:color w:val="auto"/>
        </w:rPr>
      </w:pPr>
    </w:p>
    <w:p>
      <w:pPr>
        <w:ind w:right="380"/>
        <w:spacing w:after="0" w:line="362" w:lineRule="auto"/>
        <w:rPr>
          <w:sz w:val="20"/>
          <w:szCs w:val="20"/>
          <w:color w:val="auto"/>
        </w:rPr>
      </w:pPr>
      <w:r>
        <w:rPr>
          <w:rFonts w:ascii="Times New Roman" w:cs="Times New Roman" w:eastAsia="Times New Roman" w:hAnsi="Times New Roman"/>
          <w:sz w:val="17"/>
          <w:szCs w:val="17"/>
          <w:color w:val="auto"/>
        </w:rPr>
        <w:t>THE PLAN AND ALL AWARDS MADE AND ACTIONS TAKEN THEREUNDER WILL BE GOVERNED BY AND CONSTRUED IN ACCORDANCE WITH THE LAWS OF THE STATE OF MARYLAND, WITHOUT REFERENCE TO PRINCIPLES OF CONFLICT OF LAWS.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7"/>
          <w:szCs w:val="17"/>
          <w:b w:val="1"/>
          <w:bCs w:val="1"/>
          <w:color w:val="auto"/>
        </w:rPr>
        <w:t>No Third-Party Beneficiaries</w:t>
      </w:r>
    </w:p>
    <w:p>
      <w:pPr>
        <w:spacing w:after="0" w:line="297"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Except as expressly provided in an Award Agreement, neither the Plan nor any Award Agreement will confer on any person other than the Company and the Grantee of any Award any rights or remedies thereunder.</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b w:val="1"/>
          <w:bCs w:val="1"/>
          <w:color w:val="auto"/>
        </w:rPr>
        <w:t>Successors and Assigns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Plan will be binding upon and inure to the benefit of the Company and any successor entity.</w:t>
      </w:r>
    </w:p>
    <w:p>
      <w:pPr>
        <w:spacing w:after="0" w:line="2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b w:val="1"/>
          <w:bCs w:val="1"/>
          <w:color w:val="auto"/>
        </w:rPr>
        <w:t>Date of Adoption and Approval of Stockholders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adopted by the Board on June 22, 2026, and was approved by the Company’s stockholders on [___], 2026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4"/>
    </w:lvl>
    <w:lvl w:ilvl="1">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7"/>
    </w:lvl>
    <w:lvl w:ilvl="1">
      <w:lvlJc w:val="left"/>
      <w:lvlText w:val="•"/>
      <w:numFmt w:val="bullet"/>
      <w:start w:val="1"/>
    </w:lvl>
  </w:abstractNum>
  <w:abstractNum w:abstractNumId="10">
    <w:nsid w:val="7C83E458"/>
    <w:multiLevelType w:val="hybridMultilevel"/>
    <w:lvl w:ilvl="0">
      <w:lvlJc w:val="left"/>
      <w:lvlText w:val="%1."/>
      <w:numFmt w:val="decimal"/>
      <w:start w:val="18"/>
    </w:lvl>
    <w:lvl w:ilvl="1">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2026-06-23T15:52:08Z</dcterms:created>
  <dcterms:modified xsi:type="dcterms:W3CDTF">2026-06-23T15:52:08Z</dcterms:modified>
</cp:coreProperties>
</file>