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9,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2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796"/>
        <w:gridCol w:w="796"/>
        <w:gridCol w:w="113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9, 2026, Creative Media &amp; Community Trust Corporation (the “Company”) issued 7,477 shares of Common Stock, par value $0.001 (“Common Stock”), in respect of redemptions of the Company’s Series A1 Preferred Stock, par value $0.001 (the “Series A1 Preferred Stock”), in lieu of cash payment for the redemption of 1,388 shares of Series A1 Preferred Stock, including accrued and unpaid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9, 2026, the Company issued 23,078 shares of Common Stock, in respect of redemptions of the Company’s Series A Preferred Stock, par value $0.001 (the “Series A Preferred Stock”), in lieu of cash payment for the redemption of 4,087 shares of Series A Preferred Stock, including accrued and unpaid dividends.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Such redemptions were requested by the holders of Series A1 Preferred Stock and Series A Preferred Stock.</w:t>
      </w:r>
      <w:r>
        <w:rPr>
          <w:color w:val="000000"/>
        </w:rPr>
        <w:t xml:space="preserve"> </w:t>
      </w:r>
      <w:r>
        <w:rPr>
          <w:rFonts w:ascii="Times New Roman;serif" w:hAnsi="Times New Roman;serif"/>
          <w:b w:val="false"/>
          <w:color w:val="000000"/>
          <w:sz w:val="20"/>
        </w:rPr>
        <w:t xml:space="preserve">The conversion price was based on the VWAP of the Common Stock for the 20 Trading Days (with each such term as defined in the Company’s charter) immediately preceding the redemption date of September 9, 2026, and amounted to approximately $4.35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10, 2026, the Company has received outstanding redemption requests from the holders of Series A1 Preferred Stock and Series A Preferred Stock, with respect to approximately 12,217 shares and 9,906 shares of Series A1 Preferred Stock and Series A Preferred Stock, respectively, which the Company may elect to redeem in shares of Common Stock or cash, at the Company’s discretion. If the Company elects to redeem in shares of Common Stock, it will do so as soon as practical after the Company opens its next trading window in accordance with its Insider Trading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474" w:type="dxa"/>
        <w:jc w:val="left"/>
        <w:tblInd w:w="0" w:type="dxa"/>
        <w:tblLayout w:type="fixed"/>
        <w:tblCellMar>
          <w:top w:w="28" w:type="dxa"/>
          <w:left w:w="28" w:type="dxa"/>
          <w:bottom w:w="28" w:type="dxa"/>
          <w:right w:w="28" w:type="dxa"/>
        </w:tblCellMar>
      </w:tblPr>
      <w:tblGrid>
        <w:gridCol w:w="841"/>
        <w:gridCol w:w="738"/>
        <w:gridCol w:w="746"/>
        <w:gridCol w:w="109"/>
        <w:gridCol w:w="109"/>
        <w:gridCol w:w="109"/>
        <w:gridCol w:w="592"/>
        <w:gridCol w:w="592"/>
        <w:gridCol w:w="592"/>
        <w:gridCol w:w="592"/>
        <w:gridCol w:w="592"/>
        <w:gridCol w:w="592"/>
        <w:gridCol w:w="955"/>
        <w:gridCol w:w="955"/>
        <w:gridCol w:w="1360"/>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3397</Characters>
  <CharactersWithSpaces>4001</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