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11, 2026</w:t>
      </w:r>
    </w:p>
    <w:tbl>
      <w:tblPr>
        <w:tblW w:w="3225" w:type="dxa"/>
        <w:jc w:val="left"/>
        <w:tblInd w:w="0" w:type="dxa"/>
        <w:tblLayout w:type="fixed"/>
        <w:tblCellMar>
          <w:top w:w="28" w:type="dxa"/>
          <w:left w:w="28" w:type="dxa"/>
          <w:bottom w:w="28" w:type="dxa"/>
          <w:right w:w="28" w:type="dxa"/>
        </w:tblCellMar>
      </w:tblPr>
      <w:tblGrid>
        <w:gridCol w:w="1033"/>
        <w:gridCol w:w="907"/>
        <w:gridCol w:w="1285"/>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color w:val="000000"/>
                <w:sz w:val="20"/>
              </w:rPr>
            </w:pPr>
            <w:r>
              <w:rPr>
                <w:rFonts w:ascii="Times New Roman;serif" w:hAnsi="Times New Roman;serif"/>
                <w:b/>
                <w:color w:val="000000"/>
                <w:sz w:val="20"/>
              </w:rPr>
              <w:t>Registration No. 333-____________</w:t>
            </w:r>
          </w:p>
        </w:tc>
      </w:tr>
      <w:tr>
        <w:trPr/>
        <w:tc>
          <w:tcPr>
            <w:tcW w:w="3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36" w:type="dxa"/>
        <w:jc w:val="left"/>
        <w:tblInd w:w="0" w:type="dxa"/>
        <w:tblLayout w:type="fixed"/>
        <w:tblCellMar>
          <w:top w:w="28" w:type="dxa"/>
          <w:left w:w="28" w:type="dxa"/>
          <w:bottom w:w="28" w:type="dxa"/>
          <w:right w:w="28" w:type="dxa"/>
        </w:tblCellMar>
      </w:tblPr>
      <w:tblGrid>
        <w:gridCol w:w="571"/>
        <w:gridCol w:w="501"/>
        <w:gridCol w:w="501"/>
        <w:gridCol w:w="501"/>
        <w:gridCol w:w="501"/>
        <w:gridCol w:w="501"/>
        <w:gridCol w:w="501"/>
        <w:gridCol w:w="501"/>
        <w:gridCol w:w="501"/>
        <w:gridCol w:w="501"/>
        <w:gridCol w:w="501"/>
        <w:gridCol w:w="501"/>
        <w:gridCol w:w="501"/>
        <w:gridCol w:w="501"/>
        <w:gridCol w:w="752"/>
      </w:tblGrid>
      <w:tr>
        <w:trPr/>
        <w:tc>
          <w:tcPr>
            <w:tcW w:w="57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783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6" w:type="dxa"/>
            <w:gridSpan w:val="15"/>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S-8</w:t>
            </w:r>
          </w:p>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 xml:space="preserve">UNDER </w:t>
            </w:r>
          </w:p>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THE SECURITIES ACT OF 1933</w:t>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 xml:space="preserve">Creative Media &amp; Community Trust </w:t>
            </w:r>
          </w:p>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Corporation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p>
      <w:pPr>
        <w:pStyle w:val="TextBody"/>
        <w:bidi w:val="0"/>
        <w:spacing w:before="0" w:after="0"/>
        <w:jc w:val="left"/>
        <w:rPr/>
      </w:pPr>
      <w:r>
        <w:rPr/>
      </w:r>
    </w:p>
    <w:tbl>
      <w:tblPr>
        <w:tblW w:w="8038" w:type="dxa"/>
        <w:jc w:val="left"/>
        <w:tblInd w:w="0" w:type="dxa"/>
        <w:tblLayout w:type="fixed"/>
        <w:tblCellMar>
          <w:top w:w="28" w:type="dxa"/>
          <w:left w:w="28" w:type="dxa"/>
          <w:bottom w:w="28" w:type="dxa"/>
          <w:right w:w="28" w:type="dxa"/>
        </w:tblCellMar>
      </w:tblPr>
      <w:tblGrid>
        <w:gridCol w:w="1815"/>
        <w:gridCol w:w="1595"/>
        <w:gridCol w:w="1599"/>
        <w:gridCol w:w="886"/>
        <w:gridCol w:w="886"/>
        <w:gridCol w:w="1257"/>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Maryland </w:t>
              <w:br/>
            </w:r>
            <w:r>
              <w:rPr>
                <w:rFonts w:ascii="Times New Roman;serif" w:hAnsi="Times New Roman;serif"/>
                <w:b w:val="false"/>
                <w:color w:val="000000"/>
                <w:sz w:val="20"/>
              </w:rPr>
              <w:t xml:space="preserve">(State or other jurisdiction of incorporation or organization) </w:t>
              <w:br/>
            </w:r>
            <w:r>
              <w:rPr>
                <w:rFonts w:ascii="Times New Roman;serif" w:hAnsi="Times New Roman;serif"/>
                <w:b/>
                <w:color w:val="000000"/>
                <w:sz w:val="20"/>
              </w:rPr>
              <w:t>4700 Wilshire Blvd, Los Angeles, CA</w:t>
              <w:br/>
            </w: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75-6446078</w:t>
              <w:br/>
            </w:r>
            <w:r>
              <w:rPr>
                <w:rFonts w:ascii="Times New Roman;serif" w:hAnsi="Times New Roman;serif"/>
                <w:b w:val="false"/>
                <w:color w:val="000000"/>
                <w:sz w:val="20"/>
              </w:rPr>
              <w:t>(I.R.S. Employer Identification No.)</w:t>
              <w:br/>
            </w:r>
            <w:r>
              <w:rPr>
                <w:rFonts w:ascii="Times New Roman;serif" w:hAnsi="Times New Roman;serif"/>
                <w:b/>
                <w:color w:val="000000"/>
                <w:sz w:val="20"/>
              </w:rPr>
              <w:t>90010</w:t>
              <w:br/>
            </w:r>
            <w:r>
              <w:rPr>
                <w:rFonts w:ascii="Times New Roman;serif" w:hAnsi="Times New Roman;serif"/>
                <w:b w:val="false"/>
                <w:color w:val="000000"/>
                <w:sz w:val="20"/>
              </w:rPr>
              <w:t>(Zip Code)</w:t>
            </w:r>
          </w:p>
        </w:tc>
      </w:tr>
    </w:tbl>
    <w:p>
      <w:pPr>
        <w:pStyle w:val="TextBody"/>
        <w:bidi w:val="0"/>
        <w:spacing w:before="0" w:after="0"/>
        <w:jc w:val="left"/>
        <w:rPr/>
      </w:pPr>
      <w:r>
        <w:rPr/>
      </w:r>
    </w:p>
    <w:tbl>
      <w:tblPr>
        <w:tblW w:w="6702" w:type="dxa"/>
        <w:jc w:val="left"/>
        <w:tblInd w:w="0" w:type="dxa"/>
        <w:tblLayout w:type="fixed"/>
        <w:tblCellMar>
          <w:top w:w="28" w:type="dxa"/>
          <w:left w:w="28" w:type="dxa"/>
          <w:bottom w:w="28" w:type="dxa"/>
          <w:right w:w="28" w:type="dxa"/>
        </w:tblCellMar>
      </w:tblPr>
      <w:tblGrid>
        <w:gridCol w:w="490"/>
        <w:gridCol w:w="431"/>
        <w:gridCol w:w="431"/>
        <w:gridCol w:w="431"/>
        <w:gridCol w:w="431"/>
        <w:gridCol w:w="431"/>
        <w:gridCol w:w="431"/>
        <w:gridCol w:w="431"/>
        <w:gridCol w:w="431"/>
        <w:gridCol w:w="431"/>
        <w:gridCol w:w="431"/>
        <w:gridCol w:w="431"/>
        <w:gridCol w:w="431"/>
        <w:gridCol w:w="431"/>
        <w:gridCol w:w="609"/>
      </w:tblGrid>
      <w:tr>
        <w:trPr/>
        <w:tc>
          <w:tcPr>
            <w:tcW w:w="49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Creative Media &amp; Community Trust Corporation 2026 Equity Incentive Plan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(Full title of the plan)</w:t>
            </w:r>
          </w:p>
          <w:p>
            <w:pPr>
              <w:pStyle w:val="TableContents"/>
              <w:bidi w:val="0"/>
              <w:spacing w:before="0" w:after="0"/>
              <w:jc w:val="center"/>
              <w:rPr/>
            </w:pPr>
            <w:r>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David Thompson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4700 Wilshire Blvd, Los Angeles, CA 90010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and address of agent for service)</w:t>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(866) 242-1266 </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(Telephone number, including area code, of agent for service)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Copies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Patrick S. Brown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Sullivan &amp; Cromwell LLP</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1888 Century Park East, Suite 2100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Los Angeles, California 90067</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(310) 712-6600</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49" w:type="dxa"/>
        <w:jc w:val="left"/>
        <w:tblInd w:w="0" w:type="dxa"/>
        <w:tblLayout w:type="fixed"/>
        <w:tblCellMar>
          <w:top w:w="28" w:type="dxa"/>
          <w:left w:w="28" w:type="dxa"/>
          <w:bottom w:w="28" w:type="dxa"/>
          <w:right w:w="28" w:type="dxa"/>
        </w:tblCellMar>
      </w:tblPr>
      <w:tblGrid>
        <w:gridCol w:w="798"/>
        <w:gridCol w:w="702"/>
        <w:gridCol w:w="704"/>
        <w:gridCol w:w="803"/>
        <w:gridCol w:w="803"/>
        <w:gridCol w:w="1139"/>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    </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    </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Non-accelerated filer    </w:t>
            </w:r>
            <w:r>
              <w:rPr>
                <w:color w:val="000000"/>
              </w:rPr>
              <w:t>☑</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Smaller reporting company    </w:t>
            </w:r>
            <w:r>
              <w:rPr>
                <w:color w:val="000000"/>
              </w:rPr>
              <w:t>☑</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bl>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EXPLANATORY NOTE </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Creative Media &amp; Community Trust Corporation (the “Registrant”) is filing this Registration Statement on Form S-8 (this “Registration Statement”) with the U.S. Securities and Exchange Commission (the “Commission”) to register an aggregate of 250,000 shares of the Registrant’s common stock, par value $0.001 per share (the “Common Stock”), for issuance under the Creative Media &amp; Community Trust Corporation 2026 Equity Incentive Plan (the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br/>
        <w:t>INFORMATION REQUIRED IN THE SECTION 10(a) PROSPECTUS</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permitted by Rule 424 under the Securities Act of 1933, as amended (the “Securities Act”), this Registration Statement omits the information specified by Part I of Form S-8. The documents containing the information specified by Part I of Form S-8 will be delivered to the participants in the Plan covered by this Registration Statement, as required by Rule 428. Such documents are not being filed with the Commission as part of this Registration Statement or as prospectuses or prospectus supplements pursuant to Rule 424 of the Securities Act.</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w:t>
        <w:br/>
        <w:t>INFORMATION REQUIRED IN THE REGISTRATION STATEMENT</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documents filed by the Registrant with the Commission pursuant to the Securities Exchange Act of 1934, as amended (the “Exchange Act”), are incorporated into this Registration Statement by reference: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The Registrant’s Annual Report on Form 10-K for the fiscal year ended December 31, 2025, filed on March 10, 2026 (as amended by the Registrant’s Annual Report on Form 10-K/A, filed on April 29, 2026);</w:t>
      </w:r>
    </w:p>
    <w:p>
      <w:pPr>
        <w:pStyle w:val="TextBody"/>
        <w:bidi w:val="0"/>
        <w:spacing w:lineRule="auto" w:line="288" w:before="180" w:after="283"/>
        <w:ind w:left="0" w:right="0" w:firstLine="720"/>
        <w:jc w:val="left"/>
        <w:rPr/>
      </w:pPr>
      <w:r>
        <w:rPr>
          <w:rFonts w:ascii="Times New Roman;serif" w:hAnsi="Times New Roman;serif"/>
          <w:b w:val="false"/>
          <w:color w:val="000000"/>
          <w:sz w:val="20"/>
        </w:rPr>
        <w:t>(b)</w:t>
      </w:r>
      <w:r>
        <w:rPr>
          <w:rFonts w:ascii="Times New Roman;serif" w:hAnsi="Times New Roman;serif"/>
          <w:b w:val="false"/>
          <w:color w:val="000000"/>
          <w:sz w:val="20"/>
        </w:rPr>
        <w:t xml:space="preserve">The Registrant’s Quarterly Report on Form 10-Q for the quarter ended March 31, 2026, filed on May 8, 2026;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(c)</w:t>
      </w:r>
      <w:r>
        <w:rPr>
          <w:rFonts w:ascii="Times New Roman;serif" w:hAnsi="Times New Roman;serif"/>
          <w:b w:val="false"/>
          <w:color w:val="000000"/>
          <w:sz w:val="20"/>
        </w:rPr>
        <w:t>The Registrant’s Current Reports on Form 8-K, filed on January 22, 2026, March 9, 2026 (as amended on March 18, 2026), March 31, 2026, April 22, 2026, June 17, 2026, July 15, 2026 and August 4, 2026 (excluding any information furnished in such reports under Item 2.02 or Item 7.01 or any corresponding Item 9.01); and</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(d)</w:t>
      </w:r>
      <w:r>
        <w:rPr>
          <w:rFonts w:ascii="Times New Roman;serif" w:hAnsi="Times New Roman;serif"/>
          <w:b w:val="false"/>
          <w:color w:val="000000"/>
          <w:sz w:val="20"/>
        </w:rPr>
        <w:t xml:space="preserve">Description of the Common Stock contained in Exhibit 4.1 to the Registrant’s Annual Report on Form 10-K, filed on March 7, 2025, including any amendments or reports filed for the purpose of updating such documents. </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documents subsequently filed by the Registrant pursuant to Sections 13(a), 13(c), 14 and 15(d) of the Exchange Act subsequent to the filing of this Registration Statement and prior to the filing of a post-effective amendment that indicates that all securities offered have been sold or which deregisters all securities then remaining unsold shall be deemed to be incorporated by reference in this Registration Statement and to be a part hereof from the date of filing of such documents, provided, however, that the Registrant is not incorporating by reference any information in these documents or filings that is deemed “furnished” to and not filed with the Commission.</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lineRule="auto" w:line="268" w:before="0" w:after="0"/>
        <w:jc w:val="left"/>
        <w:rPr>
          <w:color w:val="000000"/>
        </w:rPr>
      </w:pPr>
      <w:r>
        <w:rPr>
          <w:color w:val="000000"/>
        </w:rPr>
        <w:t>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68" w:before="180" w:after="283"/>
        <w:jc w:val="left"/>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Maryland law permits a Maryland corporation to include in its charter a provision eliminating the liability of its directors and officers to the corporation and its stockholders for money damages except for liability resulting from (i) actual receipt of an improper benefit or profit in money, property or services or (ii) active or deliberate dishonesty established in a judgment or other final adjudication to be material to the cause of action. The Registrant’s charter contains a provision that eliminates the liability of the Registrant’s directors and officers to the maximum extent permitted by Maryland law.</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Maryland law requires a Maryland corporation (unless its charter provides otherwise, which the Registrant’s charter does not) to indemnify a director or officer who has been successful, on the merits or otherwise, in the defense of any proceeding to which he or she is made, or threatened to be made, a party by reason of his or her service in that capacity. Maryland law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 act or omission of the director or officer was material to the matter giving rise to the proceeding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was committed in bad faith; or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was the result of active and deliberate dishonesty;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director or officer actually received an improper personal benefit in money, property or services; or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 the case of any criminal proceeding, the director or officer had reasonable cause to believe that the act or omission was unlawful.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However, under Maryland law,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Maryland law permits a Maryland corporation to advance reasonable expenses to a director or officer upon the corporation’s receipt of:</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written affirmation by the director or officer of his or her good faith belief that he or she has met the standard of conduct necessary for indemnification by the corporation;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written undertaking by the director or officer or on the director’s or officer’s behalf to repay the amount paid or reimbursed by the corporation if it is ultimately determined that the director or officer did not meet the standard of conduct.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Registrant’s charter and bylaws obligate the Registrant, to the maximum extent permitted by Maryland law, to indemnify and, without requiring a preliminary determination of the ultimate entitlement to indemnification, pay or reimburse reasonable expenses in advance of final disposition of a proceeding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any present or former director or officer who is made, or threatened to be made, a party to, or witness in, the proceeding by reason of his or her service in that capacity; or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any individual who, while a director or officer of the Registrant and at the Registrant’s request, serves or has served another corporation, real estate investment trust, limited liability company, partnership, joint venture, trust, employee benefit plan or any other enterprise as a director, officer, trustee, member, manager or partner and who is made, or threatened to be made, a party to, or witness in, the proceeding by reason of his or her service in that capacity.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Registrant’s charter and bylaws also permit the Registrant, subject to approval from the Registrant’s Board of Directors, to indemnify and advance expenses to any person who served a predecessor of the Registrant in any of the capacities described above and to any employee or agent of the Registrant or a predecessor of the Registrant.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each of our directors and officers. Each indemnification agreement provides that we will indemnify and hold harmless each such director or officer to the fullest extent permitted by Maryland law.</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summaries are necessarily subject to the complete text of the statute, the Registrant’s charter and the Registrant’s bylaws and are qualified in their entirety by reference thereto.</w:t>
      </w:r>
    </w:p>
    <w:p>
      <w:pPr>
        <w:pStyle w:val="TextBody"/>
        <w:bidi w:val="0"/>
        <w:spacing w:lineRule="auto" w:line="276" w:before="180" w:after="283"/>
        <w:jc w:val="left"/>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437"/>
        <w:gridCol w:w="383"/>
        <w:gridCol w:w="385"/>
        <w:gridCol w:w="2628"/>
        <w:gridCol w:w="2628"/>
        <w:gridCol w:w="3744"/>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Exhibit </w:t>
            </w:r>
            <w:r>
              <w:rPr>
                <w:rFonts w:ascii="Times New Roman;serif" w:hAnsi="Times New Roman;serif"/>
                <w:b/>
                <w:color w:val="000000"/>
                <w:sz w:val="20"/>
                <w:u w:val="single"/>
              </w:rPr>
              <w:t>Number</w:t>
            </w:r>
          </w:p>
        </w:tc>
        <w:tc>
          <w:tcPr>
            <w:tcW w:w="9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000" w:type="dxa"/>
            <w:gridSpan w:val="3"/>
            <w:tcBorders/>
            <w:tcMar>
              <w:top w:w="0" w:type="dxa"/>
              <w:left w:w="0" w:type="dxa"/>
              <w:bottom w:w="0" w:type="dxa"/>
              <w:right w:w="0" w:type="dxa"/>
            </w:tcMar>
            <w:vAlign w:val="center"/>
          </w:tcPr>
          <w:p>
            <w:pPr>
              <w:pStyle w:val="TableContents"/>
              <w:bidi w:val="0"/>
              <w:spacing w:lineRule="auto" w:line="288" w:before="180" w:after="180"/>
              <w:jc w:val="left"/>
              <w:rPr/>
            </w:pPr>
            <w:hyperlink r:id="rId2">
              <w:r>
                <w:rPr>
                  <w:rStyle w:val="InternetLink"/>
                  <w:rFonts w:ascii="Times New Roman;serif" w:hAnsi="Times New Roman;serif"/>
                  <w:b w:val="false"/>
                  <w:color w:val="000000"/>
                  <w:sz w:val="20"/>
                  <w:u w:val="single"/>
                </w:rPr>
                <w:t xml:space="preserve">Articles of Amendment and Restatement (incorporated by reference to Exhibit 3.1 to the Registrant’s Current Report on Form 8-K filed with the SEC on May 2, 2014). </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00"/>
                  <w:sz w:val="20"/>
                  <w:u w:val="single"/>
                </w:rPr>
                <w:t>Articles of Amendment (Name Change) (incorporated by reference to Exhibit 3.4 to the Registrant’s Current Report on Form 8-K filed with the SEC on May 2, 2014).</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00"/>
                  <w:sz w:val="20"/>
                  <w:u w:val="single"/>
                </w:rPr>
                <w:t>Articles of Amendment (Reverse Stock Split) (incorporated by reference to Exhibit 3.5 to the Registrant’s Current Report on Form 8-K filed with the SEC on May 2, 2014).</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00"/>
                  <w:sz w:val="20"/>
                  <w:u w:val="single"/>
                </w:rPr>
                <w:t>Articles of Amendment (Par Value Decrease) (incorporated by reference to Exhibit 3.6 to the Registrant’s Current Report on Form 8-K filed with the SEC on May 2, 2014).</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00"/>
                  <w:sz w:val="20"/>
                  <w:u w:val="single"/>
                </w:rPr>
                <w:t>Articles of Amendment (Reverse Stock Split) (incorporated by reference to Exhibit 3.1 to the Registrant’s Current Report on Form 8-K filed with the SEC on September 6, 2019).</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00"/>
                  <w:sz w:val="20"/>
                  <w:u w:val="single"/>
                </w:rPr>
                <w:t>Articles of Amendment (Par Value Decrease) (incorporated by reference to Exhibit 3.2 to the Registrant’s Current Report on Form 8-K filed with the SEC on September 6, 2019).</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00"/>
                  <w:sz w:val="20"/>
                  <w:u w:val="single"/>
                </w:rPr>
                <w:t>Articles of Amendment (Name Change) (incorporated by reference to Exhibit 3.1 to the Registrant’s Current Report on Form 8-K filed with the SEC on March 10, 2022).</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00"/>
                  <w:sz w:val="20"/>
                  <w:u w:val="single"/>
                </w:rPr>
                <w:t>Articles of Amendment (Reverse Stock Split) (incorporated by reference to Exhibit 3.1 to the Registrant’s Current Report on Form 8-K filed with the SEC on January 13, 2025).</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00"/>
                  <w:sz w:val="20"/>
                  <w:u w:val="single"/>
                </w:rPr>
                <w:t>Articles of Amendment (Par Value Decrease) (incorporated by reference to Exhibit 3.2 to the Registrant’s Current Report on Form 8-K filed with the SEC on January 13, 2025).</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80"/>
                  <w:sz w:val="20"/>
                  <w:u w:val="single"/>
                </w:rPr>
                <w:t xml:space="preserve">Articles of Amendment </w:t>
              </w:r>
            </w:hyperlink>
            <w:hyperlink r:id="rId12">
              <w:r>
                <w:rPr>
                  <w:rStyle w:val="InternetLink"/>
                  <w:rFonts w:ascii="Times New Roman;serif" w:hAnsi="Times New Roman;serif"/>
                  <w:b w:val="false"/>
                  <w:color w:val="000080"/>
                  <w:sz w:val="20"/>
                  <w:u w:val="single"/>
                </w:rPr>
                <w:t>(Reverse Stock Split)</w:t>
              </w:r>
            </w:hyperlink>
            <w:hyperlink r:id="rId13">
              <w:r>
                <w:rPr>
                  <w:rStyle w:val="InternetLink"/>
                  <w:rFonts w:ascii="Times New Roman;serif" w:hAnsi="Times New Roman;serif"/>
                  <w:b w:val="false"/>
                  <w:color w:val="000080"/>
                  <w:sz w:val="20"/>
                  <w:u w:val="single"/>
                </w:rPr>
                <w:t xml:space="preserve"> (incorporated by reference to Exhibit 3.1 to the Registrant’s Current Report on Form 8-K filed with the SEC on </w:t>
              </w:r>
            </w:hyperlink>
            <w:hyperlink r:id="rId14">
              <w:r>
                <w:rPr>
                  <w:rStyle w:val="InternetLink"/>
                  <w:rFonts w:ascii="Times New Roman;serif" w:hAnsi="Times New Roman;serif"/>
                  <w:b w:val="false"/>
                  <w:color w:val="000080"/>
                  <w:sz w:val="20"/>
                  <w:u w:val="single"/>
                </w:rPr>
                <w:t>April 17</w:t>
              </w:r>
            </w:hyperlink>
            <w:hyperlink r:id="rId15">
              <w:r>
                <w:rPr>
                  <w:rStyle w:val="InternetLink"/>
                  <w:rFonts w:ascii="Times New Roman;serif" w:hAnsi="Times New Roman;serif"/>
                  <w:b w:val="false"/>
                  <w:color w:val="000080"/>
                  <w:sz w:val="20"/>
                  <w:u w:val="single"/>
                </w:rPr>
                <w:t xml:space="preserve">, </w:t>
              </w:r>
            </w:hyperlink>
            <w:hyperlink r:id="rId16">
              <w:r>
                <w:rPr>
                  <w:rStyle w:val="InternetLink"/>
                  <w:rFonts w:ascii="Times New Roman;serif" w:hAnsi="Times New Roman;serif"/>
                  <w:b w:val="false"/>
                  <w:color w:val="000080"/>
                  <w:sz w:val="20"/>
                  <w:u w:val="single"/>
                </w:rPr>
                <w:t>2025)</w:t>
              </w:r>
            </w:hyperlink>
            <w:hyperlink r:id="rId17">
              <w:r>
                <w:rPr>
                  <w:rStyle w:val="InternetLink"/>
                  <w:rFonts w:ascii="Times New Roman;serif" w:hAnsi="Times New Roman;serif"/>
                  <w:b w:val="false"/>
                  <w:color w:val="000080"/>
                  <w:sz w:val="20"/>
                  <w:u w:val="single"/>
                </w:rPr>
                <w:t>.</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80"/>
                  <w:sz w:val="20"/>
                  <w:u w:val="single"/>
                </w:rPr>
                <w:t xml:space="preserve">Articles </w:t>
              </w:r>
            </w:hyperlink>
            <w:hyperlink r:id="rId19">
              <w:r>
                <w:rPr>
                  <w:rStyle w:val="InternetLink"/>
                  <w:rFonts w:ascii="Times New Roman;serif" w:hAnsi="Times New Roman;serif"/>
                  <w:b w:val="false"/>
                  <w:color w:val="000080"/>
                  <w:sz w:val="20"/>
                  <w:u w:val="single"/>
                </w:rPr>
                <w:t xml:space="preserve">of Amendment </w:t>
              </w:r>
            </w:hyperlink>
            <w:hyperlink r:id="rId20">
              <w:r>
                <w:rPr>
                  <w:rStyle w:val="InternetLink"/>
                  <w:rFonts w:ascii="Times New Roman;serif" w:hAnsi="Times New Roman;serif"/>
                  <w:b w:val="false"/>
                  <w:color w:val="000080"/>
                  <w:sz w:val="20"/>
                  <w:u w:val="single"/>
                </w:rPr>
                <w:t>(Par Value Decrease)</w:t>
              </w:r>
            </w:hyperlink>
            <w:hyperlink r:id="rId21">
              <w:r>
                <w:rPr>
                  <w:rStyle w:val="InternetLink"/>
                  <w:rFonts w:ascii="Times New Roman;serif" w:hAnsi="Times New Roman;serif"/>
                  <w:b w:val="false"/>
                  <w:color w:val="000080"/>
                  <w:sz w:val="20"/>
                  <w:u w:val="single"/>
                </w:rPr>
                <w:t xml:space="preserve"> (incorporated by reference to Exhibit 3.2 to the Registrant’s Current Report on Form 8-K filed with the SEC on </w:t>
              </w:r>
            </w:hyperlink>
            <w:hyperlink r:id="rId22">
              <w:r>
                <w:rPr>
                  <w:rStyle w:val="InternetLink"/>
                  <w:rFonts w:ascii="Times New Roman;serif" w:hAnsi="Times New Roman;serif"/>
                  <w:b w:val="false"/>
                  <w:color w:val="000080"/>
                  <w:sz w:val="20"/>
                  <w:u w:val="single"/>
                </w:rPr>
                <w:t>April 17</w:t>
              </w:r>
            </w:hyperlink>
            <w:hyperlink r:id="rId23">
              <w:r>
                <w:rPr>
                  <w:rStyle w:val="InternetLink"/>
                  <w:rFonts w:ascii="Times New Roman;serif" w:hAnsi="Times New Roman;serif"/>
                  <w:b w:val="false"/>
                  <w:color w:val="000080"/>
                  <w:sz w:val="20"/>
                  <w:u w:val="single"/>
                </w:rPr>
                <w:t xml:space="preserve">, </w:t>
              </w:r>
            </w:hyperlink>
            <w:hyperlink r:id="rId24">
              <w:r>
                <w:rPr>
                  <w:rStyle w:val="InternetLink"/>
                  <w:rFonts w:ascii="Times New Roman;serif" w:hAnsi="Times New Roman;serif"/>
                  <w:b w:val="false"/>
                  <w:color w:val="000080"/>
                  <w:sz w:val="20"/>
                  <w:u w:val="single"/>
                </w:rPr>
                <w:t>2025)</w:t>
              </w:r>
            </w:hyperlink>
            <w:hyperlink r:id="rId25">
              <w:r>
                <w:rPr>
                  <w:rStyle w:val="InternetLink"/>
                  <w:rFonts w:ascii="Times New Roman;serif" w:hAnsi="Times New Roman;serif"/>
                  <w:b w:val="false"/>
                  <w:color w:val="000080"/>
                  <w:sz w:val="20"/>
                  <w:u w:val="single"/>
                </w:rPr>
                <w:t>.</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80"/>
                  <w:sz w:val="20"/>
                  <w:u w:val="single"/>
                </w:rPr>
                <w:t xml:space="preserve">Articles </w:t>
              </w:r>
            </w:hyperlink>
            <w:hyperlink r:id="rId27">
              <w:r>
                <w:rPr>
                  <w:rStyle w:val="InternetLink"/>
                  <w:rFonts w:ascii="Times New Roman;serif" w:hAnsi="Times New Roman;serif"/>
                  <w:b w:val="false"/>
                  <w:color w:val="000080"/>
                  <w:sz w:val="20"/>
                  <w:u w:val="single"/>
                </w:rPr>
                <w:t>of Amendment (Reverse</w:t>
              </w:r>
            </w:hyperlink>
            <w:hyperlink r:id="rId28">
              <w:r>
                <w:rPr>
                  <w:rStyle w:val="InternetLink"/>
                  <w:rFonts w:ascii="Times New Roman;serif" w:hAnsi="Times New Roman;serif"/>
                  <w:b w:val="false"/>
                  <w:color w:val="000080"/>
                  <w:sz w:val="20"/>
                  <w:u w:val="single"/>
                </w:rPr>
                <w:t xml:space="preserve"> Stock</w:t>
              </w:r>
            </w:hyperlink>
            <w:hyperlink r:id="rId29">
              <w:r>
                <w:rPr>
                  <w:rStyle w:val="InternetLink"/>
                  <w:rFonts w:ascii="Times New Roman;serif" w:hAnsi="Times New Roman;serif"/>
                  <w:b w:val="false"/>
                  <w:color w:val="000080"/>
                  <w:sz w:val="20"/>
                  <w:u w:val="single"/>
                </w:rPr>
                <w:t xml:space="preserve"> Split)</w:t>
              </w:r>
            </w:hyperlink>
            <w:hyperlink r:id="rId30">
              <w:r>
                <w:rPr>
                  <w:rStyle w:val="InternetLink"/>
                  <w:rFonts w:ascii="Times New Roman;serif" w:hAnsi="Times New Roman;serif"/>
                  <w:b w:val="false"/>
                  <w:color w:val="000080"/>
                  <w:sz w:val="20"/>
                  <w:u w:val="single"/>
                </w:rPr>
                <w:t xml:space="preserve"> (incorporated by reference to Exhibit </w:t>
              </w:r>
            </w:hyperlink>
            <w:hyperlink r:id="rId31">
              <w:r>
                <w:rPr>
                  <w:rStyle w:val="InternetLink"/>
                  <w:rFonts w:ascii="Times New Roman;serif" w:hAnsi="Times New Roman;serif"/>
                  <w:b w:val="false"/>
                  <w:color w:val="000080"/>
                  <w:sz w:val="20"/>
                  <w:u w:val="single"/>
                </w:rPr>
                <w:t>3.1</w:t>
              </w:r>
            </w:hyperlink>
            <w:hyperlink r:id="rId32">
              <w:r>
                <w:rPr>
                  <w:rStyle w:val="InternetLink"/>
                  <w:rFonts w:ascii="Times New Roman;serif" w:hAnsi="Times New Roman;serif"/>
                  <w:b w:val="false"/>
                  <w:color w:val="000080"/>
                  <w:sz w:val="20"/>
                  <w:u w:val="single"/>
                </w:rPr>
                <w:t xml:space="preserve"> to </w:t>
              </w:r>
            </w:hyperlink>
            <w:hyperlink r:id="rId33">
              <w:r>
                <w:rPr>
                  <w:rStyle w:val="InternetLink"/>
                  <w:rFonts w:ascii="Times New Roman;serif" w:hAnsi="Times New Roman;serif"/>
                  <w:b w:val="false"/>
                  <w:color w:val="000080"/>
                  <w:sz w:val="20"/>
                  <w:u w:val="single"/>
                </w:rPr>
                <w:t>the Registrant’s Current Report on</w:t>
              </w:r>
            </w:hyperlink>
            <w:hyperlink r:id="rId34">
              <w:r>
                <w:rPr>
                  <w:rStyle w:val="InternetLink"/>
                  <w:rFonts w:ascii="Times New Roman;serif" w:hAnsi="Times New Roman;serif"/>
                  <w:b w:val="false"/>
                  <w:color w:val="000080"/>
                  <w:sz w:val="20"/>
                  <w:u w:val="single"/>
                </w:rPr>
                <w:t xml:space="preserve"> Form </w:t>
              </w:r>
            </w:hyperlink>
            <w:hyperlink r:id="rId35">
              <w:r>
                <w:rPr>
                  <w:rStyle w:val="InternetLink"/>
                  <w:rFonts w:ascii="Times New Roman;serif" w:hAnsi="Times New Roman;serif"/>
                  <w:b w:val="false"/>
                  <w:color w:val="000080"/>
                  <w:sz w:val="20"/>
                  <w:u w:val="single"/>
                </w:rPr>
                <w:t>8-K</w:t>
              </w:r>
            </w:hyperlink>
            <w:hyperlink r:id="rId36">
              <w:r>
                <w:rPr>
                  <w:rStyle w:val="InternetLink"/>
                  <w:rFonts w:ascii="Times New Roman;serif" w:hAnsi="Times New Roman;serif"/>
                  <w:b w:val="false"/>
                  <w:color w:val="000080"/>
                  <w:sz w:val="20"/>
                  <w:u w:val="single"/>
                </w:rPr>
                <w:t xml:space="preserve"> filed </w:t>
              </w:r>
            </w:hyperlink>
            <w:hyperlink r:id="rId37">
              <w:r>
                <w:rPr>
                  <w:rStyle w:val="InternetLink"/>
                  <w:rFonts w:ascii="Times New Roman;serif" w:hAnsi="Times New Roman;serif"/>
                  <w:b w:val="false"/>
                  <w:color w:val="000080"/>
                  <w:sz w:val="20"/>
                  <w:u w:val="single"/>
                </w:rPr>
                <w:t xml:space="preserve">with the SEC on </w:t>
              </w:r>
            </w:hyperlink>
            <w:hyperlink r:id="rId38">
              <w:r>
                <w:rPr>
                  <w:rStyle w:val="InternetLink"/>
                  <w:rFonts w:ascii="Times New Roman;serif" w:hAnsi="Times New Roman;serif"/>
                  <w:b w:val="false"/>
                  <w:color w:val="000080"/>
                  <w:sz w:val="20"/>
                  <w:u w:val="single"/>
                </w:rPr>
                <w:t>March 31</w:t>
              </w:r>
            </w:hyperlink>
            <w:hyperlink r:id="rId39">
              <w:r>
                <w:rPr>
                  <w:rStyle w:val="InternetLink"/>
                  <w:rFonts w:ascii="Times New Roman;serif" w:hAnsi="Times New Roman;serif"/>
                  <w:b w:val="false"/>
                  <w:color w:val="000080"/>
                  <w:sz w:val="20"/>
                  <w:u w:val="single"/>
                </w:rPr>
                <w:t xml:space="preserve">, </w:t>
              </w:r>
            </w:hyperlink>
            <w:hyperlink r:id="rId40">
              <w:r>
                <w:rPr>
                  <w:rStyle w:val="InternetLink"/>
                  <w:rFonts w:ascii="Times New Roman;serif" w:hAnsi="Times New Roman;serif"/>
                  <w:b w:val="false"/>
                  <w:color w:val="000080"/>
                  <w:sz w:val="20"/>
                  <w:u w:val="single"/>
                </w:rPr>
                <w:t>2026)</w:t>
              </w:r>
            </w:hyperlink>
            <w:hyperlink r:id="rId41">
              <w:r>
                <w:rPr>
                  <w:rStyle w:val="InternetLink"/>
                  <w:rFonts w:ascii="Times New Roman;serif" w:hAnsi="Times New Roman;serif"/>
                  <w:b w:val="false"/>
                  <w:color w:val="000080"/>
                  <w:sz w:val="20"/>
                  <w:u w:val="single"/>
                </w:rPr>
                <w:t>.</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4.13</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80"/>
                  <w:sz w:val="20"/>
                  <w:u w:val="single"/>
                </w:rPr>
                <w:t xml:space="preserve">Articles </w:t>
              </w:r>
            </w:hyperlink>
            <w:hyperlink r:id="rId43">
              <w:r>
                <w:rPr>
                  <w:rStyle w:val="InternetLink"/>
                  <w:rFonts w:ascii="Times New Roman;serif" w:hAnsi="Times New Roman;serif"/>
                  <w:b w:val="false"/>
                  <w:color w:val="000080"/>
                  <w:sz w:val="20"/>
                  <w:u w:val="single"/>
                </w:rPr>
                <w:t xml:space="preserve">of Amendment </w:t>
              </w:r>
            </w:hyperlink>
            <w:hyperlink r:id="rId44">
              <w:r>
                <w:rPr>
                  <w:rStyle w:val="InternetLink"/>
                  <w:rFonts w:ascii="Times New Roman;serif" w:hAnsi="Times New Roman;serif"/>
                  <w:b w:val="false"/>
                  <w:color w:val="000080"/>
                  <w:sz w:val="20"/>
                  <w:u w:val="single"/>
                </w:rPr>
                <w:t>(Par Value Decrease)</w:t>
              </w:r>
            </w:hyperlink>
            <w:hyperlink r:id="rId45">
              <w:r>
                <w:rPr>
                  <w:rStyle w:val="InternetLink"/>
                  <w:rFonts w:ascii="Times New Roman;serif" w:hAnsi="Times New Roman;serif"/>
                  <w:b w:val="false"/>
                  <w:color w:val="000080"/>
                  <w:sz w:val="20"/>
                  <w:u w:val="single"/>
                </w:rPr>
                <w:t xml:space="preserve"> (incorporated by reference to Exhibit </w:t>
              </w:r>
            </w:hyperlink>
            <w:hyperlink r:id="rId46">
              <w:r>
                <w:rPr>
                  <w:rStyle w:val="InternetLink"/>
                  <w:rFonts w:ascii="Times New Roman;serif" w:hAnsi="Times New Roman;serif"/>
                  <w:b w:val="false"/>
                  <w:color w:val="000080"/>
                  <w:sz w:val="20"/>
                  <w:u w:val="single"/>
                </w:rPr>
                <w:t>3.2</w:t>
              </w:r>
            </w:hyperlink>
            <w:hyperlink r:id="rId47">
              <w:r>
                <w:rPr>
                  <w:rStyle w:val="InternetLink"/>
                  <w:rFonts w:ascii="Times New Roman;serif" w:hAnsi="Times New Roman;serif"/>
                  <w:b w:val="false"/>
                  <w:color w:val="000080"/>
                  <w:sz w:val="20"/>
                  <w:u w:val="single"/>
                </w:rPr>
                <w:t xml:space="preserve"> to the Registrant’s Current Report on Form 8-K filed with the SEC on </w:t>
              </w:r>
            </w:hyperlink>
            <w:hyperlink r:id="rId48">
              <w:r>
                <w:rPr>
                  <w:rStyle w:val="InternetLink"/>
                  <w:rFonts w:ascii="Times New Roman;serif" w:hAnsi="Times New Roman;serif"/>
                  <w:b w:val="false"/>
                  <w:color w:val="000080"/>
                  <w:sz w:val="20"/>
                  <w:u w:val="single"/>
                </w:rPr>
                <w:t>March 31</w:t>
              </w:r>
            </w:hyperlink>
            <w:hyperlink r:id="rId49">
              <w:r>
                <w:rPr>
                  <w:rStyle w:val="InternetLink"/>
                  <w:rFonts w:ascii="Times New Roman;serif" w:hAnsi="Times New Roman;serif"/>
                  <w:b w:val="false"/>
                  <w:color w:val="000080"/>
                  <w:sz w:val="20"/>
                  <w:u w:val="single"/>
                </w:rPr>
                <w:t xml:space="preserve">, </w:t>
              </w:r>
            </w:hyperlink>
            <w:hyperlink r:id="rId50">
              <w:r>
                <w:rPr>
                  <w:rStyle w:val="InternetLink"/>
                  <w:rFonts w:ascii="Times New Roman;serif" w:hAnsi="Times New Roman;serif"/>
                  <w:b w:val="false"/>
                  <w:color w:val="000080"/>
                  <w:sz w:val="20"/>
                  <w:u w:val="single"/>
                </w:rPr>
                <w:t>2026)</w:t>
              </w:r>
            </w:hyperlink>
            <w:hyperlink r:id="rId51">
              <w:r>
                <w:rPr>
                  <w:rStyle w:val="InternetLink"/>
                  <w:rFonts w:ascii="Times New Roman;serif" w:hAnsi="Times New Roman;serif"/>
                  <w:b w:val="false"/>
                  <w:color w:val="000080"/>
                  <w:sz w:val="20"/>
                  <w:u w:val="single"/>
                </w:rPr>
                <w:t>.</w:t>
              </w:r>
            </w:hyperlink>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4.14</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erif" w:hAnsi="Times New Roman;serif"/>
                  <w:b w:val="false"/>
                  <w:color w:val="000000"/>
                  <w:sz w:val="20"/>
                  <w:u w:val="single"/>
                </w:rPr>
                <w:t>Articles of Amendment (Reverse Stock Split) (incorporated by reference to Exhibit 3.1 to the Registrant’s Current Report on Form 8-K filed with the SEC on April 22, 2026).</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4"/>
        <w:gridCol w:w="153"/>
        <w:gridCol w:w="154"/>
        <w:gridCol w:w="2988"/>
        <w:gridCol w:w="2787"/>
        <w:gridCol w:w="394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4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4.15</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erif" w:hAnsi="Times New Roman;serif"/>
                  <w:b w:val="false"/>
                  <w:color w:val="000000"/>
                  <w:sz w:val="20"/>
                  <w:u w:val="single"/>
                </w:rPr>
                <w:t>Articles of Amendment (Par Value Decrease) (incorporated by reference to Exhibit 3.2 to the Registrant’s Current Report on Form 8-K filed with the SEC on April 22,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4.16</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erif" w:hAnsi="Times New Roman;serif"/>
                  <w:b w:val="false"/>
                  <w:color w:val="000000"/>
                  <w:sz w:val="20"/>
                  <w:u w:val="single"/>
                </w:rPr>
                <w:t>Articles Supplementary, designating the Series A Preferred Stock (incorporated by reference to Exhibit 3.1 to the Registrant's Current Report on Form 8-K filed with the SEC on October 27, 2016).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4.17</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erif" w:hAnsi="Times New Roman;serif"/>
                  <w:b w:val="false"/>
                  <w:color w:val="000000"/>
                  <w:sz w:val="20"/>
                  <w:u w:val="single"/>
                </w:rPr>
                <w:t>Amendment No. 1 to the Articles Supplementary, designating the Series A Preferred Stock (incorporated by reference to Exhibit 3.1 to the Registrant’s Current Report on Form 8-K filed with the SEC on January 31,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4.18</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erif" w:hAnsi="Times New Roman;serif"/>
                  <w:b w:val="false"/>
                  <w:color w:val="000000"/>
                  <w:sz w:val="20"/>
                  <w:u w:val="single"/>
                </w:rPr>
                <w:t>Articles Supplementary, designating the Series D Preferred Stock (incorporated by reference to Exhibit 3.2 to the Registrant’s Current Report on Form 8-K filed with the SEC on January 31, 2020).</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4.19</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erif" w:hAnsi="Times New Roman;serif"/>
                  <w:b w:val="false"/>
                  <w:color w:val="000000"/>
                  <w:sz w:val="20"/>
                  <w:u w:val="single"/>
                </w:rPr>
                <w:t>Articles Supplementary, designating the Series L Preferred Stock (incorporated by reference to Exhibit 4.1 to the Registrant's Pre-Effective Amendment No. 4 to the Form S-11 Registration Statement (333-218019) filed with the SEC on November 15, 2017).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4.20</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erif" w:hAnsi="Times New Roman;serif"/>
                  <w:b w:val="false"/>
                  <w:color w:val="000000"/>
                  <w:sz w:val="20"/>
                  <w:u w:val="single"/>
                </w:rPr>
                <w:t>Articles Supplementary, designating the Series A1 Preferred Stock (incorporated by reference to Exhibit 3.1 to the Registrant’s Current Report on Form 8-K filed with the SEC on June 17, 2022).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4.21</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erif" w:hAnsi="Times New Roman;serif"/>
                  <w:b w:val="false"/>
                  <w:color w:val="000000"/>
                  <w:sz w:val="20"/>
                  <w:u w:val="single"/>
                </w:rPr>
                <w:t>Bylaws of Creative Media &amp; Community Trust Corporation (incorporated by reference to Exhibit 3.6 to the Registrant’s Annual Report on Form 10-K filed with the SEC on March 16, 2022).</w:t>
              </w:r>
            </w:hyperlink>
          </w:p>
          <w:p>
            <w:pPr>
              <w:pStyle w:val="TableContents"/>
              <w:bidi w:val="0"/>
              <w:spacing w:before="0" w:after="0"/>
              <w:jc w:val="left"/>
              <w:rPr/>
            </w:pPr>
            <w:r>
              <w:rPr/>
            </w:r>
          </w:p>
          <w:p>
            <w:pPr>
              <w:pStyle w:val="TableContents"/>
              <w:bidi w:val="0"/>
              <w:spacing w:before="0" w:after="0"/>
              <w:jc w:val="left"/>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4.22</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erif" w:hAnsi="Times New Roman;serif"/>
                  <w:b w:val="false"/>
                  <w:color w:val="000000"/>
                  <w:sz w:val="20"/>
                  <w:u w:val="single"/>
                </w:rPr>
                <w:t>Description of Securities of Creative Media &amp; Community Trust Corporation (incorporated by reference to Exhibit 4.1 to the Registrant’s Annual Report on Form 10-K filed with the SEC on March 7, 2025).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4.23</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erif" w:hAnsi="Times New Roman;serif"/>
                  <w:b w:val="false"/>
                  <w:color w:val="000000"/>
                  <w:sz w:val="20"/>
                  <w:u w:val="single"/>
                </w:rPr>
                <w:t>Junior Subordinated Indenture between PMC Commercial Trust and JPMorgan Chase Bank, National Association as Trustee dated March 15, 2005 (incorporated by reference to Exhibit 10.2 to the Registrant’s Quarterly Report on Form 10-Q filed with the SEC on May 10,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4.24</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erif" w:hAnsi="Times New Roman;serif"/>
                  <w:b w:val="false"/>
                  <w:color w:val="000000"/>
                  <w:sz w:val="20"/>
                  <w:u w:val="single"/>
                </w:rPr>
                <w:t>Amended and Restated Trust Agreement among PMC Commercial Trust, JPMorgan Chase Bank, National Association, Chase Bank USA, National Association and The Administrative Trustees Named Therein dated March 15, 2005 (incorporated by reference to Exhibit 10.3 to the Registrant’s Quarterly Report on Form 10-Q filed with the SEC on May 10,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4.25</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erif" w:hAnsi="Times New Roman;serif"/>
                  <w:b w:val="false"/>
                  <w:color w:val="000000"/>
                  <w:sz w:val="20"/>
                  <w:u w:val="single"/>
                </w:rPr>
                <w:t>Floating Rate Junior Subordinated Note due 2035 (incorporated by reference to Exhibit 10.5 to the Registrant’s Quarterly Report on Form 10-Q filed with the SEC on May 10, 2005).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4.26</w:t>
            </w:r>
          </w:p>
        </w:tc>
        <w:tc>
          <w:tcPr>
            <w:tcW w:w="9724"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erif" w:hAnsi="Times New Roman;serif"/>
                <w:color w:val="000000"/>
              </w:rPr>
              <w:instrText xml:space="preserve"> HYPERLINK "https://www.sec.gov/ix?doc=/Archives/edgar/data/0000908311/000090831126000065/cmct-20260623.htm" \l "i6b89a91b20714770be01f11658217428_549755814379"</w:instrText>
            </w:r>
            <w:r>
              <w:rPr>
                <w:rStyle w:val="InternetLink"/>
                <w:sz w:val="20"/>
                <w:u w:val="single"/>
                <w:b w:val="false"/>
                <w:rFonts w:ascii="Times New Roman;serif" w:hAnsi="Times New Roman;serif"/>
                <w:color w:val="000000"/>
              </w:rPr>
              <w:fldChar w:fldCharType="separate"/>
            </w:r>
            <w:r>
              <w:rPr>
                <w:rStyle w:val="InternetLink"/>
                <w:rFonts w:ascii="Times New Roman;serif" w:hAnsi="Times New Roman;serif"/>
                <w:b w:val="false"/>
                <w:color w:val="000000"/>
                <w:sz w:val="20"/>
                <w:u w:val="single"/>
              </w:rPr>
              <w:t>2026 Equity Incentive Plan (incorporated by reference to Appendix A to the Registrant’s Definitive Proxy Statement on Schedule 14A for the 2026 Annual Meeting of Shareholders, filed on June 23, 2026).</w:t>
            </w:r>
            <w:r>
              <w:rPr>
                <w:rStyle w:val="InternetLink"/>
                <w:sz w:val="20"/>
                <w:u w:val="single"/>
                <w:b w:val="false"/>
                <w:rFonts w:ascii="Times New Roman;serif" w:hAnsi="Times New Roman;serif"/>
                <w:color w:val="000000"/>
              </w:rPr>
              <w:fldChar w:fldCharType="end"/>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4.27</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27-directorrestric.htm">
              <w:r>
                <w:rPr>
                  <w:rStyle w:val="InternetLink"/>
                  <w:rFonts w:ascii="Times New Roman;serif" w:hAnsi="Times New Roman;serif"/>
                  <w:b w:val="false"/>
                  <w:color w:val="000000"/>
                  <w:sz w:val="20"/>
                  <w:u w:val="single"/>
                </w:rPr>
                <w:t>Form of Creative Media &amp; Community Trust Corporation 2026 Equity Incentive Plan Director Restricted Stock Agreement (filed herewith).</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cmctsx8venableop.htm">
              <w:r>
                <w:rPr>
                  <w:rStyle w:val="InternetLink"/>
                  <w:rFonts w:ascii="Times New Roman;serif" w:hAnsi="Times New Roman;serif"/>
                  <w:b w:val="false"/>
                  <w:color w:val="000000"/>
                  <w:sz w:val="20"/>
                  <w:u w:val="single"/>
                </w:rPr>
                <w:t>Opinion of Venable LLP (filed herewith).</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cmctsx8venableop.htm">
              <w:r>
                <w:rPr>
                  <w:rStyle w:val="InternetLink"/>
                  <w:rFonts w:ascii="Times New Roman;serif" w:hAnsi="Times New Roman;serif"/>
                  <w:b w:val="false"/>
                  <w:color w:val="000080"/>
                  <w:sz w:val="20"/>
                  <w:u w:val="single"/>
                </w:rPr>
                <w:t>Consent of Venable LLP (</w:t>
              </w:r>
            </w:hyperlink>
            <w:hyperlink w:anchor="exhibit51-cmctsx8venableop.htm">
              <w:r>
                <w:rPr>
                  <w:rStyle w:val="InternetLink"/>
                  <w:rFonts w:ascii="Times New Roman;serif" w:hAnsi="Times New Roman;serif"/>
                  <w:b w:val="false"/>
                  <w:color w:val="000080"/>
                  <w:sz w:val="20"/>
                  <w:u w:val="single"/>
                </w:rPr>
                <w:t>contained</w:t>
              </w:r>
            </w:hyperlink>
            <w:hyperlink w:anchor="exhibit51-cmctsx8venableop.htm">
              <w:r>
                <w:rPr>
                  <w:rStyle w:val="InternetLink"/>
                  <w:rFonts w:ascii="Times New Roman;serif" w:hAnsi="Times New Roman;serif"/>
                  <w:b w:val="false"/>
                  <w:color w:val="000080"/>
                  <w:sz w:val="20"/>
                  <w:u w:val="single"/>
                </w:rPr>
                <w:t xml:space="preserve"> in Exhibit 5.1).</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cmctsx8deloitte.htm">
              <w:r>
                <w:rPr>
                  <w:rStyle w:val="InternetLink"/>
                  <w:rFonts w:ascii="Times New Roman;serif" w:hAnsi="Times New Roman;serif"/>
                  <w:b w:val="false"/>
                  <w:color w:val="000080"/>
                  <w:sz w:val="20"/>
                  <w:u w:val="single"/>
                </w:rPr>
                <w:t>Consent of Deloitte &amp; Touche LLP</w:t>
              </w:r>
            </w:hyperlink>
            <w:hyperlink w:anchor="exhibit232-cmctsx8deloitte.htm">
              <w:r>
                <w:rPr>
                  <w:rStyle w:val="InternetLink"/>
                  <w:rFonts w:ascii="Times New Roman;serif" w:hAnsi="Times New Roman;serif"/>
                  <w:b w:val="false"/>
                  <w:color w:val="000080"/>
                  <w:sz w:val="20"/>
                  <w:u w:val="single"/>
                </w:rPr>
                <w:t xml:space="preserve"> (filed herewith)</w:t>
              </w:r>
            </w:hyperlink>
            <w:hyperlink w:anchor="exhibit232-cmctsx8deloitte.htm">
              <w:r>
                <w:rPr>
                  <w:rStyle w:val="InternetLink"/>
                  <w:rFonts w:ascii="Times New Roman;serif" w:hAnsi="Times New Roman;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Power of Attorney (set forth on the signature page to this Registration Statement).</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00"/>
                  <w:sz w:val="20"/>
                  <w:u w:val="single"/>
                </w:rPr>
                <w:t>Filing Fee Table (filed herewith).</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left"/>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(17 C.F.R. § 230.424(b))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2160"/>
        <w:jc w:val="left"/>
        <w:rPr/>
      </w:pPr>
      <w:r>
        <w:rPr>
          <w:rFonts w:ascii="Times New Roman;serif" w:hAnsi="Times New Roman;serif"/>
          <w:b w:val="false"/>
          <w:color w:val="000000"/>
          <w:sz w:val="20"/>
        </w:rPr>
        <w:t xml:space="preserve">(iii)            To include any material information with respect to the plan of distribution not previously disclosed in this Registration Statement or any material change to such information in this Registration Statement;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paragraphs (a)(1)(i) and (a)(1)(ii)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this Registration Statement.</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left"/>
        <w:rPr/>
      </w:pPr>
      <w:r>
        <w:rPr>
          <w:rFonts w:ascii="Times New Roman;serif" w:hAnsi="Times New Roman;serif"/>
          <w:b w:val="false"/>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may be permitted to directors, officers and controlling persons of the Registrant pursuant to the provisions referenced in Item 6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Los Angeles, State of California, on the 11th day of August, 2026.</w:t>
      </w:r>
    </w:p>
    <w:tbl>
      <w:tblPr>
        <w:tblW w:w="5970" w:type="dxa"/>
        <w:jc w:val="left"/>
        <w:tblInd w:w="0" w:type="dxa"/>
        <w:tblLayout w:type="fixed"/>
        <w:tblCellMar>
          <w:top w:w="28" w:type="dxa"/>
          <w:left w:w="28" w:type="dxa"/>
          <w:bottom w:w="28" w:type="dxa"/>
          <w:right w:w="28" w:type="dxa"/>
        </w:tblCellMar>
      </w:tblPr>
      <w:tblGrid>
        <w:gridCol w:w="124"/>
        <w:gridCol w:w="109"/>
        <w:gridCol w:w="109"/>
        <w:gridCol w:w="826"/>
        <w:gridCol w:w="826"/>
        <w:gridCol w:w="826"/>
        <w:gridCol w:w="920"/>
        <w:gridCol w:w="920"/>
        <w:gridCol w:w="1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CREATIVE MEDIA &amp; COMMUNITY TRUST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Thompson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Thompson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Brandon Hill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Brandon Hill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68" w:before="0" w:after="0"/>
        <w:jc w:val="both"/>
        <w:rPr/>
      </w:pPr>
      <w:r>
        <w:rPr>
          <w:rFonts w:ascii="Times New Roman;serif" w:hAnsi="Times New Roman;serif"/>
          <w:b/>
          <w:color w:val="000000"/>
          <w:sz w:val="20"/>
        </w:rPr>
        <w:t>KNOW ALL PERSONS BY THESE PRESENTS</w:t>
      </w:r>
      <w:r>
        <w:rPr>
          <w:color w:val="000000"/>
        </w:rPr>
        <w:t xml:space="preserve"> </w:t>
      </w:r>
      <w:r>
        <w:rPr>
          <w:rFonts w:ascii="Times New Roman;serif" w:hAnsi="Times New Roman;serif"/>
          <w:b w:val="false"/>
          <w:color w:val="000000"/>
          <w:sz w:val="20"/>
        </w:rPr>
        <w:t>that each individual whose signature appears below constitutes and appoints David Thompson and Brandon Hill and each of them, any of whom may act without the joinder of the other, as their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may lawfully do or cause to be done by virtue hereof.</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indicated capacities on August 11, 2026.</w:t>
      </w:r>
    </w:p>
    <w:tbl>
      <w:tblPr>
        <w:tblW w:w="10205" w:type="dxa"/>
        <w:jc w:val="left"/>
        <w:tblInd w:w="0" w:type="dxa"/>
        <w:tblLayout w:type="fixed"/>
        <w:tblCellMar>
          <w:top w:w="28" w:type="dxa"/>
          <w:left w:w="28" w:type="dxa"/>
          <w:bottom w:w="28" w:type="dxa"/>
          <w:right w:w="28" w:type="dxa"/>
        </w:tblCellMar>
      </w:tblPr>
      <w:tblGrid>
        <w:gridCol w:w="658"/>
        <w:gridCol w:w="579"/>
        <w:gridCol w:w="585"/>
        <w:gridCol w:w="109"/>
        <w:gridCol w:w="109"/>
        <w:gridCol w:w="109"/>
        <w:gridCol w:w="2344"/>
        <w:gridCol w:w="2338"/>
        <w:gridCol w:w="3374"/>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3374"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r>
      <w:tr>
        <w:trPr/>
        <w:tc>
          <w:tcPr>
            <w:tcW w:w="1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David Thompson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(Principal Executive Officer)</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Brandon 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Brandon 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 (Principal Financial Officer and Principal Accounting Officer)</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Richard Ressler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Richard Ressler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Chairman of the Board, Director</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Douglas Bech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Douglas Bech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Hope Bryant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John Hope Bryant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Marcie L.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Marcie L. Edwards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Shaul Kuba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Shaul Kuba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Avraham Shemesh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Avraham Shemesh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Director</w:t>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Elaine Wong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Elaine Wong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Director</w:t>
            </w:r>
          </w:p>
        </w:tc>
      </w:tr>
    </w:tbl>
    <w:p>
      <w:pPr>
        <w:pStyle w:val="TextBody"/>
        <w:bidi w:val="0"/>
        <w:spacing w:before="18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107</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17"/>
        </w:rPr>
      </w:pPr>
      <w:r>
        <w:rPr>
          <w:rFonts w:ascii="Times New Roman;serif" w:hAnsi="Times New Roman;serif"/>
          <w:b/>
          <w:color w:val="000000"/>
          <w:sz w:val="17"/>
        </w:rPr>
        <w:t>Calculation of Filing Fee Tables</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Form S-8</w:t>
      </w:r>
    </w:p>
    <w:p>
      <w:pPr>
        <w:pStyle w:val="TextBody"/>
        <w:bidi w:val="0"/>
        <w:spacing w:lineRule="auto" w:line="288" w:before="0" w:after="240"/>
        <w:jc w:val="center"/>
        <w:rPr>
          <w:rFonts w:ascii="Times New Roman;serif" w:hAnsi="Times New Roman;serif"/>
          <w:b w:val="false"/>
          <w:color w:val="000000"/>
          <w:sz w:val="17"/>
        </w:rPr>
      </w:pPr>
      <w:r>
        <w:rPr>
          <w:rFonts w:ascii="Times New Roman;serif" w:hAnsi="Times New Roman;serif"/>
          <w:b w:val="false"/>
          <w:color w:val="000000"/>
          <w:sz w:val="17"/>
        </w:rPr>
        <w:t>(Form Type)</w:t>
      </w:r>
    </w:p>
    <w:p>
      <w:pPr>
        <w:pStyle w:val="TextBody"/>
        <w:bidi w:val="0"/>
        <w:spacing w:lineRule="auto" w:line="288" w:before="0" w:after="0"/>
        <w:jc w:val="center"/>
        <w:rPr>
          <w:rFonts w:ascii="Times New Roman;serif" w:hAnsi="Times New Roman;serif"/>
          <w:b/>
          <w:color w:val="000000"/>
          <w:sz w:val="17"/>
        </w:rPr>
      </w:pPr>
      <w:r>
        <w:rPr>
          <w:rFonts w:ascii="Times New Roman;serif" w:hAnsi="Times New Roman;serif"/>
          <w:b/>
          <w:color w:val="000000"/>
          <w:sz w:val="17"/>
        </w:rPr>
        <w:t>Creative Media &amp; Community Trust Corporation 2026 Equity Incentive Plan</w:t>
      </w:r>
    </w:p>
    <w:p>
      <w:pPr>
        <w:pStyle w:val="TextBody"/>
        <w:bidi w:val="0"/>
        <w:spacing w:lineRule="auto" w:line="288" w:before="0" w:after="240"/>
        <w:jc w:val="center"/>
        <w:rPr>
          <w:rFonts w:ascii="Times New Roman;serif" w:hAnsi="Times New Roman;serif"/>
          <w:b w:val="false"/>
          <w:color w:val="000000"/>
          <w:sz w:val="17"/>
        </w:rPr>
      </w:pPr>
      <w:r>
        <w:rPr>
          <w:rFonts w:ascii="Times New Roman;serif" w:hAnsi="Times New Roman;serif"/>
          <w:b w:val="false"/>
          <w:color w:val="000000"/>
          <w:sz w:val="17"/>
        </w:rPr>
        <w:t>(Exact Name of Registrant as Specified in its Charter)</w:t>
      </w:r>
    </w:p>
    <w:p>
      <w:pPr>
        <w:pStyle w:val="TextBody"/>
        <w:bidi w:val="0"/>
        <w:spacing w:lineRule="auto" w:line="288" w:before="0" w:after="240"/>
        <w:jc w:val="center"/>
        <w:rPr>
          <w:rFonts w:ascii="Times New Roman;serif" w:hAnsi="Times New Roman;serif"/>
          <w:b/>
          <w:color w:val="000000"/>
          <w:sz w:val="17"/>
        </w:rPr>
      </w:pPr>
      <w:r>
        <w:rPr>
          <w:rFonts w:ascii="Times New Roman;serif" w:hAnsi="Times New Roman;serif"/>
          <w:b/>
          <w:color w:val="000000"/>
          <w:sz w:val="17"/>
        </w:rPr>
        <w:t>Table 1: Newly Registered Securities</w:t>
      </w:r>
    </w:p>
    <w:tbl>
      <w:tblPr>
        <w:tblW w:w="10205" w:type="dxa"/>
        <w:jc w:val="left"/>
        <w:tblInd w:w="0" w:type="dxa"/>
        <w:tblLayout w:type="fixed"/>
        <w:tblCellMar>
          <w:top w:w="28" w:type="dxa"/>
          <w:left w:w="28" w:type="dxa"/>
          <w:bottom w:w="28" w:type="dxa"/>
          <w:right w:w="28" w:type="dxa"/>
        </w:tblCellMar>
      </w:tblPr>
      <w:tblGrid>
        <w:gridCol w:w="308"/>
        <w:gridCol w:w="270"/>
        <w:gridCol w:w="272"/>
        <w:gridCol w:w="454"/>
        <w:gridCol w:w="424"/>
        <w:gridCol w:w="426"/>
        <w:gridCol w:w="387"/>
        <w:gridCol w:w="387"/>
        <w:gridCol w:w="389"/>
        <w:gridCol w:w="375"/>
        <w:gridCol w:w="375"/>
        <w:gridCol w:w="377"/>
        <w:gridCol w:w="560"/>
        <w:gridCol w:w="560"/>
        <w:gridCol w:w="562"/>
        <w:gridCol w:w="686"/>
        <w:gridCol w:w="503"/>
        <w:gridCol w:w="505"/>
        <w:gridCol w:w="319"/>
        <w:gridCol w:w="319"/>
        <w:gridCol w:w="323"/>
        <w:gridCol w:w="413"/>
        <w:gridCol w:w="413"/>
        <w:gridCol w:w="598"/>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Security Type</w:t>
            </w:r>
          </w:p>
        </w:tc>
        <w:tc>
          <w:tcPr>
            <w:tcW w:w="13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Security Class Title</w:t>
            </w:r>
          </w:p>
        </w:tc>
        <w:tc>
          <w:tcPr>
            <w:tcW w:w="116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Fee Calculation Rule</w:t>
            </w:r>
          </w:p>
        </w:tc>
        <w:tc>
          <w:tcPr>
            <w:tcW w:w="112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Amount Registered</w:t>
            </w:r>
            <w:r>
              <w:rPr>
                <w:rFonts w:ascii="Times New Roman;serif" w:hAnsi="Times New Roman;serif"/>
                <w:b/>
                <w:color w:val="000000"/>
                <w:sz w:val="9"/>
              </w:rPr>
              <w:t>(1)</w:t>
            </w:r>
          </w:p>
        </w:tc>
        <w:tc>
          <w:tcPr>
            <w:tcW w:w="168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Proposed Maximum Offering Price Per Unit</w:t>
            </w:r>
            <w:r>
              <w:rPr>
                <w:rFonts w:ascii="Times New Roman;serif" w:hAnsi="Times New Roman;serif"/>
                <w:b/>
                <w:color w:val="000000"/>
                <w:sz w:val="11"/>
              </w:rPr>
              <w:t>(3)</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Maximum Aggregate Offering Price</w:t>
            </w:r>
            <w:r>
              <w:rPr>
                <w:rFonts w:ascii="Times New Roman;serif" w:hAnsi="Times New Roman;serif"/>
                <w:b/>
                <w:color w:val="000000"/>
                <w:sz w:val="9"/>
              </w:rPr>
              <w:t>(3)</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Fee Rate</w:t>
            </w:r>
          </w:p>
        </w:tc>
        <w:tc>
          <w:tcPr>
            <w:tcW w:w="14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 of Registration Fee</w:t>
            </w:r>
          </w:p>
        </w:tc>
      </w:tr>
      <w:tr>
        <w:trPr/>
        <w:tc>
          <w:tcPr>
            <w:tcW w:w="7820" w:type="dxa"/>
            <w:gridSpan w:val="18"/>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w:t>
            </w:r>
          </w:p>
        </w:tc>
        <w:tc>
          <w:tcPr>
            <w:tcW w:w="130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Common Stock,$0.001 par value </w:t>
            </w:r>
          </w:p>
        </w:tc>
        <w:tc>
          <w:tcPr>
            <w:tcW w:w="116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112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250,000</w:t>
            </w:r>
            <w:r>
              <w:rPr>
                <w:rFonts w:ascii="Times New Roman;serif" w:hAnsi="Times New Roman;serif"/>
                <w:b w:val="false"/>
                <w:color w:val="000000"/>
                <w:sz w:val="11"/>
              </w:rPr>
              <w:t>(2)</w:t>
            </w:r>
          </w:p>
        </w:tc>
        <w:tc>
          <w:tcPr>
            <w:tcW w:w="16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$4.11</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$1,027,500.00</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$0.0001381</w:t>
            </w:r>
          </w:p>
        </w:tc>
        <w:tc>
          <w:tcPr>
            <w:tcW w:w="14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$141.90</w:t>
            </w:r>
          </w:p>
        </w:tc>
      </w:tr>
      <w:tr>
        <w:trPr/>
        <w:tc>
          <w:tcPr>
            <w:tcW w:w="4444" w:type="dxa"/>
            <w:gridSpan w:val="12"/>
            <w:tcBorders>
              <w:left w:val="single" w:sz="4" w:space="0" w:color="000000"/>
              <w:bottom w:val="single" w:sz="4" w:space="0" w:color="000000"/>
            </w:tcBorders>
            <w:tcMar>
              <w:top w:w="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Offering Amounts</w:t>
            </w:r>
          </w:p>
        </w:tc>
        <w:tc>
          <w:tcPr>
            <w:tcW w:w="16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$1,027,500.00</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$141.90</w:t>
            </w:r>
          </w:p>
        </w:tc>
      </w:tr>
      <w:tr>
        <w:trPr/>
        <w:tc>
          <w:tcPr>
            <w:tcW w:w="4444" w:type="dxa"/>
            <w:gridSpan w:val="12"/>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Fee Offsets</w:t>
            </w:r>
          </w:p>
        </w:tc>
        <w:tc>
          <w:tcPr>
            <w:tcW w:w="168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4444" w:type="dxa"/>
            <w:gridSpan w:val="12"/>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Fee Due</w:t>
            </w:r>
          </w:p>
        </w:tc>
        <w:tc>
          <w:tcPr>
            <w:tcW w:w="168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$141.90</w:t>
            </w:r>
          </w:p>
        </w:tc>
      </w:tr>
    </w:tbl>
    <w:p>
      <w:pPr>
        <w:pStyle w:val="TextBody"/>
        <w:bidi w:val="0"/>
        <w:spacing w:before="0" w:after="0"/>
        <w:jc w:val="left"/>
        <w:rPr/>
      </w:pPr>
      <w:r>
        <w:rPr/>
      </w:r>
    </w:p>
    <w:p>
      <w:pPr>
        <w:pStyle w:val="TextBody"/>
        <w:bidi w:val="0"/>
        <w:spacing w:lineRule="auto" w:line="268" w:before="0" w:after="0"/>
        <w:ind w:left="0" w:right="0" w:hanging="720"/>
        <w:jc w:val="both"/>
        <w:rPr/>
      </w:pPr>
      <w:r>
        <w:rPr>
          <w:rFonts w:ascii="Times New Roman;serif" w:hAnsi="Times New Roman;serif"/>
          <w:b w:val="false"/>
          <w:color w:val="000000"/>
          <w:sz w:val="17"/>
        </w:rPr>
        <w:t>(1)    Pursuant to Rule 416 under the Securities Act of 1933, as amended (the “</w:t>
      </w:r>
      <w:r>
        <w:rPr>
          <w:rFonts w:ascii="Times New Roman;serif" w:hAnsi="Times New Roman;serif"/>
          <w:b w:val="false"/>
          <w:color w:val="000000"/>
          <w:sz w:val="17"/>
          <w:u w:val="single"/>
        </w:rPr>
        <w:t>Securities Act</w:t>
      </w:r>
      <w:r>
        <w:rPr>
          <w:color w:val="000000"/>
        </w:rPr>
        <w:t>”</w:t>
      </w:r>
      <w:r>
        <w:rPr>
          <w:rFonts w:ascii="Times New Roman;serif" w:hAnsi="Times New Roman;serif"/>
          <w:b w:val="false"/>
          <w:color w:val="000000"/>
          <w:sz w:val="17"/>
        </w:rPr>
        <w:t>), this Registration Statement shall also cover any additional shares of common stock, $0.001 par value (the “</w:t>
      </w:r>
      <w:r>
        <w:rPr>
          <w:rFonts w:ascii="Times New Roman;serif" w:hAnsi="Times New Roman;serif"/>
          <w:b w:val="false"/>
          <w:color w:val="000000"/>
          <w:sz w:val="17"/>
          <w:u w:val="single"/>
        </w:rPr>
        <w:t>Common Stock</w:t>
      </w:r>
      <w:r>
        <w:rPr>
          <w:color w:val="000000"/>
        </w:rPr>
        <w:t>”</w:t>
      </w:r>
      <w:r>
        <w:rPr>
          <w:rFonts w:ascii="Times New Roman;serif" w:hAnsi="Times New Roman;serif"/>
          <w:b w:val="false"/>
          <w:color w:val="000000"/>
          <w:sz w:val="17"/>
        </w:rPr>
        <w:t xml:space="preserve">), of </w:t>
      </w:r>
      <w:r>
        <w:rPr>
          <w:rFonts w:ascii="Times New Roman;serif" w:hAnsi="Times New Roman;serif"/>
          <w:b w:val="false"/>
          <w:color w:val="231F20"/>
          <w:sz w:val="17"/>
        </w:rPr>
        <w:t>Creative Media &amp; Community Trust Corporation</w:t>
      </w:r>
      <w:r>
        <w:rPr>
          <w:color w:val="000000"/>
        </w:rPr>
        <w:t xml:space="preserve"> </w:t>
      </w:r>
      <w:r>
        <w:rPr>
          <w:rFonts w:ascii="Times New Roman;serif" w:hAnsi="Times New Roman;serif"/>
          <w:b w:val="false"/>
          <w:color w:val="000000"/>
          <w:sz w:val="17"/>
        </w:rPr>
        <w:t>which may become issuable under the plans listed in footnote 2 below by reason of any stock split, stock dividend, recapitalization, or other similar transaction effected without consideration which results in the increase in the number of outstanding shares of Common Stock.</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17"/>
        </w:rPr>
      </w:pPr>
      <w:r>
        <w:rPr>
          <w:rFonts w:ascii="Times New Roman;serif" w:hAnsi="Times New Roman;serif"/>
          <w:b w:val="false"/>
          <w:color w:val="000000"/>
          <w:sz w:val="17"/>
        </w:rPr>
        <w:t>(2)    Represents shares of Common Stock issuable under the Creative Media &amp; Community Trust Corporation 2026 Equity Incentive Plan.</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(3)    Estimated solely for purpose of calculating the registration fee. Pursuant to Rule 457(c) and Rule 457(h) under the Securities</w:t>
      </w:r>
    </w:p>
    <w:p>
      <w:pPr>
        <w:pStyle w:val="TextBody"/>
        <w:bidi w:val="0"/>
        <w:spacing w:lineRule="auto" w:line="288" w:before="0" w:after="0"/>
        <w:ind w:left="0" w:right="0" w:firstLine="720"/>
        <w:jc w:val="left"/>
        <w:rPr>
          <w:rFonts w:ascii="Times New Roman;serif" w:hAnsi="Times New Roman;serif"/>
          <w:b w:val="false"/>
          <w:color w:val="000000"/>
          <w:sz w:val="17"/>
        </w:rPr>
      </w:pPr>
      <w:r>
        <w:rPr>
          <w:rFonts w:ascii="Times New Roman;serif" w:hAnsi="Times New Roman;serif"/>
          <w:b w:val="false"/>
          <w:color w:val="000000"/>
          <w:sz w:val="17"/>
        </w:rPr>
        <w:t>Act, the proposed maximum offering price per share and proposed maximum aggregate offering price are based on the</w:t>
      </w:r>
    </w:p>
    <w:p>
      <w:pPr>
        <w:pStyle w:val="TextBody"/>
        <w:bidi w:val="0"/>
        <w:spacing w:lineRule="auto" w:line="288" w:before="0" w:after="0"/>
        <w:ind w:left="0" w:right="0" w:firstLine="720"/>
        <w:jc w:val="left"/>
        <w:rPr>
          <w:rFonts w:ascii="Times New Roman;serif" w:hAnsi="Times New Roman;serif"/>
          <w:b w:val="false"/>
          <w:color w:val="000000"/>
          <w:sz w:val="17"/>
        </w:rPr>
      </w:pPr>
      <w:r>
        <w:rPr>
          <w:rFonts w:ascii="Times New Roman;serif" w:hAnsi="Times New Roman;serif"/>
          <w:b w:val="false"/>
          <w:color w:val="000000"/>
          <w:sz w:val="17"/>
        </w:rPr>
        <w:t>reported average of the high and low prices of Common Stock as reported on Nasdaq Capital Market on August 4,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right"/>
        <w:rPr>
          <w:rFonts w:ascii="Times New Roman;serif" w:hAnsi="Times New Roman;serif"/>
          <w:b/>
          <w:color w:val="000000"/>
          <w:sz w:val="22"/>
        </w:rPr>
      </w:pPr>
      <w:r>
        <w:rPr>
          <w:rFonts w:ascii="Times New Roman;serif" w:hAnsi="Times New Roman;serif"/>
          <w:b/>
          <w:color w:val="000000"/>
          <w:sz w:val="22"/>
        </w:rPr>
        <w:t>Exhibit 4.27</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DIRECTOR RESTRICTED STOCK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This agreement (the “Award Agreement”) is made as of [ ] by and between Creative Media &amp; Community Trust Corporation, a Maryland corporation (the “Company”), and [ ] (the “Director”). Capitalized terms used in this Award Agreement and not defined herein shall have the meaning as set forth in the Company’s 2026 Equity Incentive Plan (the “Plan”).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1. </w:t>
      </w:r>
      <w:r>
        <w:rPr>
          <w:rFonts w:ascii="Times New Roman;serif" w:hAnsi="Times New Roman;serif"/>
          <w:b w:val="false"/>
          <w:color w:val="000000"/>
          <w:sz w:val="24"/>
          <w:u w:val="single"/>
        </w:rPr>
        <w:t>Award</w:t>
      </w:r>
      <w:r>
        <w:rPr>
          <w:rFonts w:ascii="Times New Roman;serif" w:hAnsi="Times New Roman;serif"/>
          <w:b w:val="false"/>
          <w:color w:val="000000"/>
          <w:sz w:val="24"/>
        </w:rPr>
        <w:t xml:space="preserve">. The Company has made a restricted stock award to the Director for [ ] shares of the Company’s common stock (the “Shares”). The award and the Shares are subject to the provisions of the Plan and, to the extent not inconsistent with the Plan, the terms and conditions of this Award Agreement.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2. </w:t>
      </w:r>
      <w:r>
        <w:rPr>
          <w:rFonts w:ascii="Times New Roman;serif" w:hAnsi="Times New Roman;serif"/>
          <w:b w:val="false"/>
          <w:color w:val="000000"/>
          <w:sz w:val="24"/>
          <w:u w:val="single"/>
        </w:rPr>
        <w:t>Vesting and Forfeiture</w:t>
      </w:r>
      <w:r>
        <w:rPr>
          <w:rFonts w:ascii="Times New Roman;serif" w:hAnsi="Times New Roman;serif"/>
          <w:b w:val="false"/>
          <w:color w:val="000000"/>
          <w:sz w:val="24"/>
        </w:rPr>
        <w:t xml:space="preserve">. The Shares will become vested one year from the date hereof (the “Vesting Date”), subject to the Director’s continuous service (“Service”) as a member of the Board of Directors of the Company (the “Board”) through the Vesting Date. Notwithstanding the foregoing, if the Director’s Service terminates before the Vesting Date by reason of the Director’s death or disability, then the Director will be fully vested in the Shares upon the date of such termination. In the event the Director’s Service terminates other than due to death or disability, any unvested Shares shall automatically be forfeited upon the date of such termination, unless otherwise determined by the Board in its discretion. For purposes of this Award Agreement, the Board shall determine in its discretion whether the Director’s Service has terminated due to “disability.” By executing this Award Agreement, the Director expressly authorizes the Company to cancel, reacquire, retire or retain, at its election, any unvested Shares if and when they are forfeited in accordance with this Award Agreement. The Director will execute and deliver such other documents and take such other actions, if any, as the Company may reasonably request in order to evidence such action with respect to any unvested Shares that are forfeited.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3. </w:t>
      </w:r>
      <w:r>
        <w:rPr>
          <w:rFonts w:ascii="Times New Roman;serif" w:hAnsi="Times New Roman;serif"/>
          <w:b w:val="false"/>
          <w:color w:val="000000"/>
          <w:sz w:val="24"/>
          <w:u w:val="single"/>
        </w:rPr>
        <w:t>Dividends and Voting Rights</w:t>
      </w:r>
      <w:r>
        <w:rPr>
          <w:rFonts w:ascii="Times New Roman;serif" w:hAnsi="Times New Roman;serif"/>
          <w:b w:val="false"/>
          <w:color w:val="000000"/>
          <w:sz w:val="24"/>
        </w:rPr>
        <w:t xml:space="preserve">. Prior to the Vesting Date, unless the Shares are forfeited in accordance with Section 2 above, the Director shall (i) have full voting rights with respect to the Shares pursuant to Section 2.3.2 of the Plan and be the beneficial and record owner of such Shares and (ii) notwithstanding Section 2.3.2 of the Plan, receive all dividends (whether ordinary or extraordinary and whether paid in cash, additional Shares or other property) or other distributions paid upon any Shares.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4. </w:t>
      </w:r>
      <w:r>
        <w:rPr>
          <w:rFonts w:ascii="Times New Roman;serif" w:hAnsi="Times New Roman;serif"/>
          <w:b w:val="false"/>
          <w:color w:val="000000"/>
          <w:sz w:val="24"/>
          <w:u w:val="single"/>
        </w:rPr>
        <w:t>Applicable Law</w:t>
      </w:r>
      <w:r>
        <w:rPr>
          <w:rFonts w:ascii="Times New Roman;serif" w:hAnsi="Times New Roman;serif"/>
          <w:b w:val="false"/>
          <w:color w:val="000000"/>
          <w:sz w:val="24"/>
        </w:rPr>
        <w:t xml:space="preserve">. The validity, construction, interpretation and effect of this Award Agreement shall be governed by and construed in accordance with the laws of the State of Maryland, without giving effect to the conflict of laws provisions thereof.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5.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Award Agreement may be executed simultaneously in any number of counterparts, each of which shall be deemed an original but all of which together shall constitute one and the same instrument.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6. </w:t>
      </w:r>
      <w:r>
        <w:rPr>
          <w:rFonts w:ascii="Times New Roman;serif" w:hAnsi="Times New Roman;serif"/>
          <w:b w:val="false"/>
          <w:color w:val="000000"/>
          <w:sz w:val="24"/>
          <w:u w:val="single"/>
        </w:rPr>
        <w:t>Section Headings</w:t>
      </w:r>
      <w:r>
        <w:rPr>
          <w:rFonts w:ascii="Times New Roman;serif" w:hAnsi="Times New Roman;serif"/>
          <w:b w:val="false"/>
          <w:color w:val="000000"/>
          <w:sz w:val="24"/>
        </w:rPr>
        <w:t>. The section headings of this Award Agreement are for convenience of reference only and shall not be deemed to alter or affect any provision hereof.</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WITNESS WHEREOF, this Award Agreement is entered into as of the date and year first above written.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CREATIVE MEDIA &amp; COMMUNITY TRUST CORPORATION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David Thompson </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Director – [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5.1</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[LETTERHEAD OF VENABLE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August 11,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Creative Media &amp; Community Trust Corporation</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17950 Preston Road, Suite 600</w: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Dallas, Texas 75252</w:t>
      </w:r>
    </w:p>
    <w:p>
      <w:pPr>
        <w:pStyle w:val="TextBody"/>
        <w:bidi w:val="0"/>
        <w:spacing w:before="0" w:after="0"/>
        <w:jc w:val="left"/>
        <w:rPr/>
      </w:pPr>
      <w:r>
        <w:rPr/>
      </w:r>
    </w:p>
    <w:p>
      <w:pPr>
        <w:pStyle w:val="TextBody"/>
        <w:bidi w:val="0"/>
        <w:spacing w:lineRule="auto" w:line="268" w:before="0" w:after="0"/>
        <w:ind w:left="0" w:right="0" w:firstLine="1440"/>
        <w:jc w:val="left"/>
        <w:rPr/>
      </w:pPr>
      <w:r>
        <w:rPr>
          <w:rFonts w:ascii="Times New Roman;serif" w:hAnsi="Times New Roman;serif"/>
          <w:b w:val="false"/>
          <w:color w:val="000000"/>
          <w:sz w:val="24"/>
        </w:rPr>
        <w:t xml:space="preserve">Re: </w:t>
      </w:r>
      <w:r>
        <w:rPr>
          <w:rFonts w:ascii="Times New Roman;serif" w:hAnsi="Times New Roman;serif"/>
          <w:b w:val="false"/>
          <w:color w:val="000000"/>
          <w:sz w:val="24"/>
          <w:u w:val="single"/>
        </w:rPr>
        <w:t>Registration Statement on Form S-8</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We have served as Maryland counsel to Creative Media &amp; Community Trust Corporation, a Maryland corporation (the “Company”), in connection with certain matters of Maryland law arising out of the registration of 250,000 shares (the “Shares”) of Common Stock, $0.001 par value per share (the “Common Stock”), of the Company issuable under the Creative Media &amp; Community Trust Corporation 2026 Equity Incentive Plan (the “Plan”). The Shares are covered by the above-referenced Registration Statement, and all amendments thereto (the “Registration Statement”), filed by the Company with the United States Securities and Exchange Commission (the “Commission”) under the Securities Act of 1933, as amended (the “1933 Act”).</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1. The Registration Statement;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The charter of the Company (the “Charter”), certified by the State Department of Assessments and Taxation of Maryland (the “SDAT”);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The Bylaws of the Company (the “Bylaws”), certified as of the date hereof by an officer of the Company;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A certificate of the SDAT as to the good standing of the Company, dated as of a recent date;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5. Resolutions adopted by the Board of Directors of the Company relating to, among other matters, the adoption of the Plan and the authorization of the issuance of the Shares (the “Resolutions”), certified as of the date hereof by an officer of the Company;</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6. The Plan, certified as of the date hereof by an officer of the Company;</w:t>
      </w:r>
    </w:p>
    <w:p>
      <w:pPr>
        <w:pStyle w:val="TextBody"/>
        <w:bidi w:val="0"/>
        <w:spacing w:before="0" w:after="0"/>
        <w:jc w:val="left"/>
        <w:rPr/>
      </w:pPr>
      <w:r>
        <w:rPr/>
      </w:r>
    </w:p>
    <w:p>
      <w:pPr>
        <w:pStyle w:val="TextBody"/>
        <w:bidi w:val="0"/>
        <w:spacing w:before="0" w:after="0"/>
        <w:ind w:left="0" w:right="0" w:firstLine="432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7. The report of the Inspector of Election certifying as to the quorum and approval of the Plan at the 2026 Annual Meeting of Stockholders of the Company held on July 30, 2026, certified as of the date hereof by an officer of the Company;</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8. A certificate executed by an officer of the Company, dated as of the date hereof; and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9. Such other documents and matters as we have deemed necessary or appropriate to express the opinion set forth below, subject to the assumptions, limitations and qualifications stated herein.</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expressing the opinion set forth below, we have assumed the following:</w:t>
      </w:r>
    </w:p>
    <w:p>
      <w:pPr>
        <w:pStyle w:val="TextBody"/>
        <w:bidi w:val="0"/>
        <w:spacing w:before="0" w:after="0"/>
        <w:ind w:left="0" w:right="0" w:firstLine="144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1. Each individual executing any of the Documents, whether on behalf of such individual or any other person, is legally competent to do so.</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Each individual executing any of the Documents on behalf of a party (other than the Company) is duly authorized to do so.</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5. The Shares will not be issued in violation of any restriction or limitation contained in Article VII of the Charter or in the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6. Upon the issuance of any of the Shares, the total number of shares of Common Stock issued and outstanding will not exceed the total number of shares of Common Stock that the Company is then authorized to issue under the Charter.</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7. Each award that provides for the potential issuance of a Share pursuant to the Plan (each, an “Award”) will be duly authorized and validly granted in accordance with the Plan, and any Share issued pursuant to any such Award will be issued in accordance with the terms of the Plan and such Award, including any agreement entered into in connection therewith.</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Based upon the foregoing, and subject to the assumptions, limitations and qualifications stated herein, it is our opinion that:</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1. The Company is a corporation duly incorporated and validly existing under and by virtue of the laws of the State of Maryland and is in good standing with the SDAT.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 The issuance of the Shares has been duly authorized and, when and to the extent issued in accordance with the Registration Statement, the Bylaws, the Resolutions and the Plan, the Shares will be validly issued, fully paid and nonassessable.</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foregoing opinion is limited to the laws of the State of Maryland, and we do not express any opinion herein concerning United States federal law or the laws of any other jurisdiction. We express no opinion as to the applicability or effect of any federal or state securities laws, including the securities laws of the State of Maryland, federal or state laws regarding fraudulent transfers or the laws, codes or regulations of any municipality or other local jurisdiction.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This opinion is being furnished to you for submission to the Commission as an exhibit to the Registration Statement. We hereby consent to the filing of this opinion as an exhibit to the Registration Statement. In giving this consent, we do not admit that we are within the category of persons whose consent is required by Section 7 of the 1933 Act.</w:t>
      </w:r>
    </w:p>
    <w:p>
      <w:pPr>
        <w:pStyle w:val="TextBody"/>
        <w:bidi w:val="0"/>
        <w:spacing w:before="0" w:after="0"/>
        <w:ind w:left="0" w:right="0" w:firstLine="4320"/>
        <w:jc w:val="left"/>
        <w:rPr/>
      </w:pPr>
      <w:r>
        <w:rPr/>
      </w:r>
    </w:p>
    <w:p>
      <w:pPr>
        <w:pStyle w:val="TextBody"/>
        <w:bidi w:val="0"/>
        <w:spacing w:before="0" w:after="0"/>
        <w:ind w:left="0" w:right="0" w:firstLine="4320"/>
        <w:jc w:val="left"/>
        <w:rPr/>
      </w:pPr>
      <w:r>
        <w:rPr/>
      </w:r>
    </w:p>
    <w:p>
      <w:pPr>
        <w:pStyle w:val="TextBody"/>
        <w:bidi w:val="0"/>
        <w:spacing w:lineRule="auto" w:line="26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 xml:space="preserve">Very truly yours, </w:t>
      </w:r>
    </w:p>
    <w:p>
      <w:pPr>
        <w:pStyle w:val="TextBody"/>
        <w:bidi w:val="0"/>
        <w:spacing w:before="0" w:after="0"/>
        <w:jc w:val="left"/>
        <w:rPr/>
      </w:pPr>
      <w:r>
        <w:rPr/>
      </w:r>
    </w:p>
    <w:p>
      <w:pPr>
        <w:pStyle w:val="TextBody"/>
        <w:bidi w:val="0"/>
        <w:spacing w:lineRule="auto" w:line="28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/s/ Venable LLP</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23.2</w:t>
      </w:r>
    </w:p>
    <w:p>
      <w:pPr>
        <w:pStyle w:val="TextBody"/>
        <w:bidi w:val="0"/>
        <w:spacing w:lineRule="auto" w:line="276"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CONSENT OF INDEPENDENT REGISTERED PUBLIC ACCOUNTING FIRM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We consent to the incorporation by reference in this Registration Statement on Form S-8 of our reports dated March 9, 2026 relating to the financial statements of Creative Media &amp; Community Trust Corporation and the effectiveness of Creative Media &amp; Community Trust Corporation’s internal control over financial reporting, appearing in the Annual Report on Form 10-K of Creative Media &amp; Community Trust Corporation for the year ended December 31,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 Deloitte &amp; Touche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Tempe, Arizona</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August 11,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08311/000110465914034052/a14-11672_1ex3d1.htm" TargetMode="External"/><Relationship Id="rId3" Type="http://schemas.openxmlformats.org/officeDocument/2006/relationships/hyperlink" Target="https://www.sec.gov/Archives/edgar/data/908311/000110465914034052/a14-11672_1ex3d4.htm" TargetMode="External"/><Relationship Id="rId4" Type="http://schemas.openxmlformats.org/officeDocument/2006/relationships/hyperlink" Target="https://www.sec.gov/Archives/edgar/data/908311/000110465914034052/a14-11672_1ex3d5.htm" TargetMode="External"/><Relationship Id="rId5" Type="http://schemas.openxmlformats.org/officeDocument/2006/relationships/hyperlink" Target="https://www.sec.gov/Archives/edgar/data/908311/000110465914034052/a14-11672_1ex3d6.htm" TargetMode="External"/><Relationship Id="rId6" Type="http://schemas.openxmlformats.org/officeDocument/2006/relationships/hyperlink" Target="https://www.sec.gov/Archives/edgar/data/908311/000110465919049108/a19-18305_1ex3d1.htm" TargetMode="External"/><Relationship Id="rId7" Type="http://schemas.openxmlformats.org/officeDocument/2006/relationships/hyperlink" Target="https://www.sec.gov/Archives/edgar/data/908311/000110465919049108/a19-18305_1ex3d2.htm" TargetMode="External"/><Relationship Id="rId8" Type="http://schemas.openxmlformats.org/officeDocument/2006/relationships/hyperlink" Target="https://www.sec.gov/Archives/edgar/data/908311/000090831122000016/cmct-articlesofamendmentre.htm" TargetMode="External"/><Relationship Id="rId9" Type="http://schemas.openxmlformats.org/officeDocument/2006/relationships/hyperlink" Target="https://www.sec.gov/Archives/edgar/data/908311/000090831125000004/cmct-xarticlesofamendmentr.htm" TargetMode="External"/><Relationship Id="rId10" Type="http://schemas.openxmlformats.org/officeDocument/2006/relationships/hyperlink" Target="https://www.sec.gov/Archives/edgar/data/908311/000090831125000004/cmct-xarticlesofamendmentra.htm" TargetMode="External"/><Relationship Id="rId11" Type="http://schemas.openxmlformats.org/officeDocument/2006/relationships/hyperlink" Target="https://www.sec.gov/Archives/edgar/data/908311/000090831125000027/cmct-xarticlesofamendmentra.htm" TargetMode="External"/><Relationship Id="rId12" Type="http://schemas.openxmlformats.org/officeDocument/2006/relationships/hyperlink" Target="https://www.sec.gov/Archives/edgar/data/908311/000090831125000027/cmct-xarticlesofamendmentra.htm" TargetMode="External"/><Relationship Id="rId13" Type="http://schemas.openxmlformats.org/officeDocument/2006/relationships/hyperlink" Target="https://www.sec.gov/Archives/edgar/data/908311/000090831125000027/cmct-xarticlesofamendmentra.htm" TargetMode="External"/><Relationship Id="rId14" Type="http://schemas.openxmlformats.org/officeDocument/2006/relationships/hyperlink" Target="https://www.sec.gov/Archives/edgar/data/908311/000090831125000027/cmct-xarticlesofamendmentra.htm" TargetMode="External"/><Relationship Id="rId15" Type="http://schemas.openxmlformats.org/officeDocument/2006/relationships/hyperlink" Target="https://www.sec.gov/Archives/edgar/data/908311/000090831125000027/cmct-xarticlesofamendmentra.htm" TargetMode="External"/><Relationship Id="rId16" Type="http://schemas.openxmlformats.org/officeDocument/2006/relationships/hyperlink" Target="https://www.sec.gov/Archives/edgar/data/908311/000090831125000027/cmct-xarticlesofamendmentra.htm" TargetMode="External"/><Relationship Id="rId17" Type="http://schemas.openxmlformats.org/officeDocument/2006/relationships/hyperlink" Target="https://www.sec.gov/Archives/edgar/data/908311/000090831125000027/cmct-xarticlesofamendmentra.htm" TargetMode="External"/><Relationship Id="rId18" Type="http://schemas.openxmlformats.org/officeDocument/2006/relationships/hyperlink" Target="https://www.sec.gov/Archives/edgar/data/908311/000090831125000027/cmct-xarticlesofamendmentr.htm" TargetMode="External"/><Relationship Id="rId19" Type="http://schemas.openxmlformats.org/officeDocument/2006/relationships/hyperlink" Target="https://www.sec.gov/Archives/edgar/data/908311/000090831125000027/cmct-xarticlesofamendmentr.htm" TargetMode="External"/><Relationship Id="rId20" Type="http://schemas.openxmlformats.org/officeDocument/2006/relationships/hyperlink" Target="https://www.sec.gov/Archives/edgar/data/908311/000090831125000027/cmct-xarticlesofamendmentr.htm" TargetMode="External"/><Relationship Id="rId21" Type="http://schemas.openxmlformats.org/officeDocument/2006/relationships/hyperlink" Target="https://www.sec.gov/Archives/edgar/data/908311/000090831125000027/cmct-xarticlesofamendmentr.htm" TargetMode="External"/><Relationship Id="rId22" Type="http://schemas.openxmlformats.org/officeDocument/2006/relationships/hyperlink" Target="https://www.sec.gov/Archives/edgar/data/908311/000090831125000027/cmct-xarticlesofamendmentr.htm" TargetMode="External"/><Relationship Id="rId23" Type="http://schemas.openxmlformats.org/officeDocument/2006/relationships/hyperlink" Target="https://www.sec.gov/Archives/edgar/data/908311/000090831125000027/cmct-xarticlesofamendmentr.htm" TargetMode="External"/><Relationship Id="rId24" Type="http://schemas.openxmlformats.org/officeDocument/2006/relationships/hyperlink" Target="https://www.sec.gov/Archives/edgar/data/908311/000090831125000027/cmct-xarticlesofamendmentr.htm" TargetMode="External"/><Relationship Id="rId25" Type="http://schemas.openxmlformats.org/officeDocument/2006/relationships/hyperlink" Target="https://www.sec.gov/Archives/edgar/data/908311/000090831125000027/cmct-xarticlesofamendmentr.htm" TargetMode="External"/><Relationship Id="rId26" Type="http://schemas.openxmlformats.org/officeDocument/2006/relationships/hyperlink" Target="https://www.sec.gov/Archives/edgar/data/908311/000090831126000041/cmct-xreversestocksplitame.htm" TargetMode="External"/><Relationship Id="rId27" Type="http://schemas.openxmlformats.org/officeDocument/2006/relationships/hyperlink" Target="https://www.sec.gov/Archives/edgar/data/908311/000090831126000041/cmct-xreversestocksplitame.htm" TargetMode="External"/><Relationship Id="rId28" Type="http://schemas.openxmlformats.org/officeDocument/2006/relationships/hyperlink" Target="https://www.sec.gov/Archives/edgar/data/908311/000090831126000041/cmct-xreversestocksplitame.htm" TargetMode="External"/><Relationship Id="rId29" Type="http://schemas.openxmlformats.org/officeDocument/2006/relationships/hyperlink" Target="https://www.sec.gov/Archives/edgar/data/908311/000090831126000041/cmct-xreversestocksplitame.htm" TargetMode="External"/><Relationship Id="rId30" Type="http://schemas.openxmlformats.org/officeDocument/2006/relationships/hyperlink" Target="https://www.sec.gov/Archives/edgar/data/908311/000090831126000041/cmct-xreversestocksplitame.htm" TargetMode="External"/><Relationship Id="rId31" Type="http://schemas.openxmlformats.org/officeDocument/2006/relationships/hyperlink" Target="https://www.sec.gov/Archives/edgar/data/908311/000090831126000041/cmct-xreversestocksplitame.htm" TargetMode="External"/><Relationship Id="rId32" Type="http://schemas.openxmlformats.org/officeDocument/2006/relationships/hyperlink" Target="https://www.sec.gov/Archives/edgar/data/908311/000090831126000041/cmct-xreversestocksplitame.htm" TargetMode="External"/><Relationship Id="rId33" Type="http://schemas.openxmlformats.org/officeDocument/2006/relationships/hyperlink" Target="https://www.sec.gov/Archives/edgar/data/908311/000090831126000041/cmct-xreversestocksplitame.htm" TargetMode="External"/><Relationship Id="rId34" Type="http://schemas.openxmlformats.org/officeDocument/2006/relationships/hyperlink" Target="https://www.sec.gov/Archives/edgar/data/908311/000090831126000041/cmct-xreversestocksplitame.htm" TargetMode="External"/><Relationship Id="rId35" Type="http://schemas.openxmlformats.org/officeDocument/2006/relationships/hyperlink" Target="https://www.sec.gov/Archives/edgar/data/908311/000090831126000041/cmct-xreversestocksplitame.htm" TargetMode="External"/><Relationship Id="rId36" Type="http://schemas.openxmlformats.org/officeDocument/2006/relationships/hyperlink" Target="https://www.sec.gov/Archives/edgar/data/908311/000090831126000041/cmct-xreversestocksplitame.htm" TargetMode="External"/><Relationship Id="rId37" Type="http://schemas.openxmlformats.org/officeDocument/2006/relationships/hyperlink" Target="https://www.sec.gov/Archives/edgar/data/908311/000090831126000041/cmct-xreversestocksplitame.htm" TargetMode="External"/><Relationship Id="rId38" Type="http://schemas.openxmlformats.org/officeDocument/2006/relationships/hyperlink" Target="https://www.sec.gov/Archives/edgar/data/908311/000090831126000041/cmct-xreversestocksplitame.htm" TargetMode="External"/><Relationship Id="rId39" Type="http://schemas.openxmlformats.org/officeDocument/2006/relationships/hyperlink" Target="https://www.sec.gov/Archives/edgar/data/908311/000090831126000041/cmct-xreversestocksplitame.htm" TargetMode="External"/><Relationship Id="rId40" Type="http://schemas.openxmlformats.org/officeDocument/2006/relationships/hyperlink" Target="https://www.sec.gov/Archives/edgar/data/908311/000090831126000041/cmct-xreversestocksplitame.htm" TargetMode="External"/><Relationship Id="rId41" Type="http://schemas.openxmlformats.org/officeDocument/2006/relationships/hyperlink" Target="https://www.sec.gov/Archives/edgar/data/908311/000090831126000041/cmct-xreversestocksplitame.htm" TargetMode="External"/><Relationship Id="rId42" Type="http://schemas.openxmlformats.org/officeDocument/2006/relationships/hyperlink" Target="https://www.sec.gov/Archives/edgar/data/908311/000090831126000041/cmct-xparvaluedecreaseamen.htm" TargetMode="External"/><Relationship Id="rId43" Type="http://schemas.openxmlformats.org/officeDocument/2006/relationships/hyperlink" Target="https://www.sec.gov/Archives/edgar/data/908311/000090831126000041/cmct-xparvaluedecreaseamen.htm" TargetMode="External"/><Relationship Id="rId44" Type="http://schemas.openxmlformats.org/officeDocument/2006/relationships/hyperlink" Target="https://www.sec.gov/Archives/edgar/data/908311/000090831126000041/cmct-xparvaluedecreaseamen.htm" TargetMode="External"/><Relationship Id="rId45" Type="http://schemas.openxmlformats.org/officeDocument/2006/relationships/hyperlink" Target="https://www.sec.gov/Archives/edgar/data/908311/000090831126000041/cmct-xparvaluedecreaseamen.htm" TargetMode="External"/><Relationship Id="rId46" Type="http://schemas.openxmlformats.org/officeDocument/2006/relationships/hyperlink" Target="https://www.sec.gov/Archives/edgar/data/908311/000090831126000041/cmct-xparvaluedecreaseamen.htm" TargetMode="External"/><Relationship Id="rId47" Type="http://schemas.openxmlformats.org/officeDocument/2006/relationships/hyperlink" Target="https://www.sec.gov/Archives/edgar/data/908311/000090831126000041/cmct-xparvaluedecreaseamen.htm" TargetMode="External"/><Relationship Id="rId48" Type="http://schemas.openxmlformats.org/officeDocument/2006/relationships/hyperlink" Target="https://www.sec.gov/Archives/edgar/data/908311/000090831126000041/cmct-xparvaluedecreaseamen.htm" TargetMode="External"/><Relationship Id="rId49" Type="http://schemas.openxmlformats.org/officeDocument/2006/relationships/hyperlink" Target="https://www.sec.gov/Archives/edgar/data/908311/000090831126000041/cmct-xparvaluedecreaseamen.htm" TargetMode="External"/><Relationship Id="rId50" Type="http://schemas.openxmlformats.org/officeDocument/2006/relationships/hyperlink" Target="https://www.sec.gov/Archives/edgar/data/908311/000090831126000041/cmct-xparvaluedecreaseamen.htm" TargetMode="External"/><Relationship Id="rId51" Type="http://schemas.openxmlformats.org/officeDocument/2006/relationships/hyperlink" Target="https://www.sec.gov/Archives/edgar/data/908311/000090831126000041/cmct-xparvaluedecreaseamen.htm" TargetMode="External"/><Relationship Id="rId52" Type="http://schemas.openxmlformats.org/officeDocument/2006/relationships/hyperlink" Target="https://www.sec.gov/Archives/edgar/data/908311/000090831126000044/cmct-xapril2026reversestoc.htm" TargetMode="External"/><Relationship Id="rId53" Type="http://schemas.openxmlformats.org/officeDocument/2006/relationships/hyperlink" Target="https://www.sec.gov/Archives/edgar/data/908311/000090831126000044/cmct-xapril2026parvaluedec.htm" TargetMode="External"/><Relationship Id="rId54" Type="http://schemas.openxmlformats.org/officeDocument/2006/relationships/hyperlink" Target="https://www.sec.gov/Archives/edgar/data/908311/000110465916152458/a16-20527_1ex3d1.htm" TargetMode="External"/><Relationship Id="rId55" Type="http://schemas.openxmlformats.org/officeDocument/2006/relationships/hyperlink" Target="https://www.sec.gov/Archives/edgar/data/908311/000110465920009338/tm1923711d4_ex3-1.htm" TargetMode="External"/><Relationship Id="rId56" Type="http://schemas.openxmlformats.org/officeDocument/2006/relationships/hyperlink" Target="https://www.sec.gov/Archives/edgar/data/908311/000110465920009338/tm1923711d4_ex3-2.htm" TargetMode="External"/><Relationship Id="rId57" Type="http://schemas.openxmlformats.org/officeDocument/2006/relationships/hyperlink" Target="https://www.sec.gov/Archives/edgar/data/908311/000104746917007078/a2233851zex-4_1.htm" TargetMode="External"/><Relationship Id="rId58" Type="http://schemas.openxmlformats.org/officeDocument/2006/relationships/hyperlink" Target="https://www.sec.gov/Archives/edgar/data/908311/000090831122000067/exhibit-articlessupplement.htm" TargetMode="External"/><Relationship Id="rId59" Type="http://schemas.openxmlformats.org/officeDocument/2006/relationships/hyperlink" Target="https://www.sec.gov/Archives/edgar/data/908311/000090831122000036/cmct-xbylaws2022.htm" TargetMode="External"/><Relationship Id="rId60" Type="http://schemas.openxmlformats.org/officeDocument/2006/relationships/hyperlink" Target="https://www.sec.gov/Archives/edgar/data/908311/000090831125000017/cmctdescriptionofsecuritie.htm" TargetMode="External"/><Relationship Id="rId61" Type="http://schemas.openxmlformats.org/officeDocument/2006/relationships/hyperlink" Target="https://www.sec.gov/Archives/edgar/data/908311/000095013405009677/d25239exv10w2.htm" TargetMode="External"/><Relationship Id="rId62" Type="http://schemas.openxmlformats.org/officeDocument/2006/relationships/hyperlink" Target="https://www.sec.gov/Archives/edgar/data/908311/000095013405009677/d25239exv10w3.htm" TargetMode="External"/><Relationship Id="rId63" Type="http://schemas.openxmlformats.org/officeDocument/2006/relationships/hyperlink" Target="https://www.sec.gov/Archives/edgar/data/908311/000095013405009677/d25239exv10w5.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5514</Words>
  <Characters>29159</Characters>
  <CharactersWithSpaces>34532</CharactersWithSpaces>
  <Paragraphs>297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